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仿宋_GB2312"/>
          <w:sz w:val="20"/>
          <w:szCs w:val="20"/>
        </w:rPr>
      </w:pPr>
    </w:p>
    <w:p>
      <w:pPr>
        <w:spacing w:line="300" w:lineRule="exact"/>
        <w:rPr>
          <w:rFonts w:eastAsia="仿宋_GB2312"/>
          <w:sz w:val="20"/>
          <w:szCs w:val="20"/>
        </w:rPr>
      </w:pPr>
    </w:p>
    <w:p>
      <w:pPr>
        <w:spacing w:line="1200" w:lineRule="exact"/>
        <w:jc w:val="center"/>
        <w:rPr>
          <w:rFonts w:ascii="方正小标宋简体" w:hAnsi="方正小标宋简体" w:eastAsia="方正小标宋简体" w:cs="方正小标宋简体"/>
          <w:color w:val="FF0000"/>
          <w:spacing w:val="20"/>
          <w:sz w:val="100"/>
          <w:szCs w:val="100"/>
        </w:rPr>
      </w:pPr>
      <w:r>
        <w:rPr>
          <w:rFonts w:hint="eastAsia" w:ascii="方正小标宋简体" w:hAnsi="方正小标宋简体" w:eastAsia="方正小标宋简体" w:cs="方正小标宋简体"/>
          <w:color w:val="FF0000"/>
          <w:spacing w:val="20"/>
          <w:sz w:val="100"/>
          <w:szCs w:val="100"/>
        </w:rPr>
        <w:t>安吉县财政局文件</w:t>
      </w:r>
    </w:p>
    <w:p>
      <w:pPr>
        <w:spacing w:line="300" w:lineRule="exact"/>
        <w:rPr>
          <w:rFonts w:eastAsia="仿宋_GB2312"/>
          <w:sz w:val="20"/>
          <w:szCs w:val="20"/>
        </w:rPr>
      </w:pPr>
    </w:p>
    <w:p>
      <w:pPr>
        <w:spacing w:line="300" w:lineRule="exact"/>
        <w:rPr>
          <w:rFonts w:eastAsia="仿宋_GB2312"/>
          <w:sz w:val="20"/>
          <w:szCs w:val="20"/>
        </w:rPr>
      </w:pPr>
    </w:p>
    <w:p>
      <w:pPr>
        <w:autoSpaceDE w:val="0"/>
        <w:spacing w:beforeLines="50" w:line="580" w:lineRule="exact"/>
        <w:jc w:val="center"/>
        <w:rPr>
          <w:rFonts w:ascii="方正粗圆简体" w:eastAsia="方正粗圆简体" w:cs="楷体_GB2312"/>
          <w:sz w:val="32"/>
          <w:szCs w:val="32"/>
        </w:rPr>
      </w:pPr>
      <w:r>
        <w:rPr>
          <w:rFonts w:hint="eastAsia" w:ascii="仿宋_GB2312" w:eastAsia="仿宋_GB2312" w:cs="仿宋_GB2312"/>
          <w:sz w:val="32"/>
          <w:szCs w:val="32"/>
        </w:rPr>
        <w:t>安财采监〔</w:t>
      </w:r>
      <w:r>
        <w:rPr>
          <w:rFonts w:ascii="仿宋_GB2312" w:eastAsia="仿宋_GB2312" w:cs="仿宋_GB2312"/>
          <w:sz w:val="32"/>
          <w:szCs w:val="32"/>
        </w:rPr>
        <w:t>2022</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112</w:t>
      </w:r>
      <w:r>
        <w:rPr>
          <w:rFonts w:hint="eastAsia" w:ascii="仿宋_GB2312" w:eastAsia="仿宋_GB2312" w:cs="仿宋_GB2312"/>
          <w:sz w:val="32"/>
          <w:szCs w:val="32"/>
        </w:rPr>
        <w:t>号</w:t>
      </w:r>
    </w:p>
    <w:p>
      <w:pPr>
        <w:spacing w:line="300" w:lineRule="exact"/>
        <w:rPr>
          <w:rFonts w:eastAsia="仿宋_GB2312"/>
          <w:sz w:val="20"/>
          <w:szCs w:val="20"/>
        </w:rPr>
      </w:pPr>
      <w:r>
        <w:drawing>
          <wp:anchor distT="0" distB="0" distL="114300" distR="114300" simplePos="0" relativeHeight="251659264" behindDoc="0" locked="0" layoutInCell="1" allowOverlap="1">
            <wp:simplePos x="0" y="0"/>
            <wp:positionH relativeFrom="column">
              <wp:posOffset>-104775</wp:posOffset>
            </wp:positionH>
            <wp:positionV relativeFrom="paragraph">
              <wp:posOffset>52070</wp:posOffset>
            </wp:positionV>
            <wp:extent cx="5800725" cy="38100"/>
            <wp:effectExtent l="0" t="0" r="317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800725" cy="38100"/>
                    </a:xfrm>
                    <a:prstGeom prst="rect">
                      <a:avLst/>
                    </a:prstGeom>
                    <a:noFill/>
                    <a:ln>
                      <a:noFill/>
                    </a:ln>
                  </pic:spPr>
                </pic:pic>
              </a:graphicData>
            </a:graphic>
          </wp:anchor>
        </w:drawing>
      </w:r>
    </w:p>
    <w:p>
      <w:pPr>
        <w:spacing w:line="300" w:lineRule="exact"/>
        <w:rPr>
          <w:rFonts w:eastAsia="仿宋_GB2312"/>
          <w:sz w:val="20"/>
          <w:szCs w:val="20"/>
        </w:rPr>
      </w:pPr>
    </w:p>
    <w:p>
      <w:pPr>
        <w:spacing w:line="300" w:lineRule="exact"/>
        <w:rPr>
          <w:rFonts w:eastAsia="仿宋_GB2312"/>
          <w:sz w:val="20"/>
          <w:szCs w:val="20"/>
        </w:rPr>
      </w:pPr>
    </w:p>
    <w:p>
      <w:pPr>
        <w:spacing w:line="580" w:lineRule="exact"/>
        <w:jc w:val="center"/>
        <w:rPr>
          <w:rFonts w:ascii="方正小标宋简体" w:eastAsia="方正小标宋简体"/>
          <w:bCs/>
          <w:sz w:val="44"/>
          <w:szCs w:val="44"/>
        </w:rPr>
      </w:pPr>
      <w:r>
        <w:rPr>
          <w:rFonts w:hint="eastAsia" w:ascii="方正小标宋简体" w:eastAsia="方正小标宋简体"/>
          <w:bCs/>
          <w:sz w:val="44"/>
          <w:szCs w:val="44"/>
        </w:rPr>
        <w:t>关于进一步规范政府采购单一来源</w:t>
      </w:r>
    </w:p>
    <w:p>
      <w:pPr>
        <w:spacing w:line="580" w:lineRule="exact"/>
        <w:jc w:val="center"/>
        <w:rPr>
          <w:rFonts w:ascii="方正小标宋简体" w:eastAsia="方正小标宋简体"/>
          <w:bCs/>
          <w:sz w:val="44"/>
          <w:szCs w:val="44"/>
        </w:rPr>
      </w:pPr>
      <w:r>
        <w:rPr>
          <w:rFonts w:hint="eastAsia" w:ascii="方正小标宋简体" w:eastAsia="方正小标宋简体"/>
          <w:bCs/>
          <w:sz w:val="44"/>
          <w:szCs w:val="44"/>
        </w:rPr>
        <w:t>采购方式管理的</w:t>
      </w:r>
      <w:bookmarkStart w:id="0" w:name="_GoBack"/>
      <w:bookmarkEnd w:id="0"/>
      <w:r>
        <w:rPr>
          <w:rFonts w:hint="eastAsia" w:ascii="方正小标宋简体" w:eastAsia="方正小标宋简体"/>
          <w:bCs/>
          <w:sz w:val="44"/>
          <w:szCs w:val="44"/>
        </w:rPr>
        <w:t>通知</w:t>
      </w:r>
    </w:p>
    <w:p>
      <w:pPr>
        <w:spacing w:line="580" w:lineRule="exact"/>
        <w:rPr>
          <w:rFonts w:ascii="仿宋_GB2312" w:hAnsi="仿宋" w:eastAsia="仿宋_GB2312" w:cs="仿宋"/>
          <w:sz w:val="32"/>
          <w:szCs w:val="32"/>
        </w:rPr>
      </w:pPr>
    </w:p>
    <w:p>
      <w:pPr>
        <w:spacing w:line="580" w:lineRule="exact"/>
        <w:rPr>
          <w:rFonts w:ascii="仿宋_GB2312" w:hAnsi="仿宋" w:eastAsia="仿宋_GB2312" w:cs="仿宋"/>
          <w:sz w:val="32"/>
          <w:szCs w:val="32"/>
        </w:rPr>
      </w:pPr>
      <w:r>
        <w:rPr>
          <w:rFonts w:hint="eastAsia" w:ascii="仿宋_GB2312" w:hAnsi="仿宋" w:eastAsia="仿宋_GB2312" w:cs="仿宋"/>
          <w:sz w:val="32"/>
          <w:szCs w:val="32"/>
        </w:rPr>
        <w:t>开发区、各乡镇（街道）、县级机关各部门：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为加强对政府采购活动的监督管理，根据《中华人民共和国政府采购法》、《中华人民共和国政府采购法实施条例》、《政府采购非招标采购方式管理办法》（财政部令第</w:t>
      </w:r>
      <w:r>
        <w:rPr>
          <w:rFonts w:ascii="仿宋_GB2312" w:eastAsia="仿宋_GB2312"/>
          <w:sz w:val="32"/>
          <w:szCs w:val="32"/>
        </w:rPr>
        <w:t>74</w:t>
      </w:r>
      <w:r>
        <w:rPr>
          <w:rFonts w:hint="eastAsia" w:ascii="仿宋_GB2312" w:eastAsia="仿宋_GB2312"/>
          <w:sz w:val="32"/>
          <w:szCs w:val="32"/>
        </w:rPr>
        <w:t>号）、《浙江省财政厅关于进一步规范政府采购购买服务采购管理的通知》（浙财采监〔</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号）等相关规定，现就进一步规范我县政府采购单一来源采购方式管理的有关事项通知如下：</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一、适用情形</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（一）只能从唯一供应商处采购的。是指因货物或者服务使用不可替代的专利、专有技术，或者公共服务项目具有特殊要求，导致只能从某一特定供应商处采购的。</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使用专利或者专有技术的项目采用单一来源方式采购，需同时满足三个方面的条件：一是项目功能的客观定位决定必须使用指定的专利、专有技术或服务，而非采购人的主观要求。不能仅以项目技术复杂或者技术难度大作为单一来源采购的理由。二是项目使用的专利、专有技术或服务具有不可替代性。项目功能定位必须使用特定的专利、专有技术或服务，且没有可以达到项目功能定位同样要求的其他替代技术方案。如果可以使用不同的专利、专有技术或服务替代，能够满足相同或相似的项目功能定位的技术需求目标，且不影响项目的质量和使用效率的，不能采用单一来源采购方式。三是因为产品或生产工艺的专利、专有技术或服务具有独占性，导致无法由其他供应商分别实施或提供，只能由某一特定的供应商提供。</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共服务项目具有特殊要求符合以下情形之一的，可以采用单一来源采购方式：一是在现有的经济和技术条件下，更换承接主体将无法保证与原有项目的一致性或者服务配套要求，且导致服务成本大幅度增加或者原有投资损失；二是省级以上（含省级）购买主体最近</w:t>
      </w:r>
      <w:r>
        <w:rPr>
          <w:rFonts w:ascii="仿宋_GB2312" w:eastAsia="仿宋_GB2312"/>
          <w:sz w:val="32"/>
          <w:szCs w:val="32"/>
        </w:rPr>
        <w:t>1</w:t>
      </w:r>
      <w:r>
        <w:rPr>
          <w:rFonts w:hint="eastAsia" w:ascii="仿宋_GB2312" w:eastAsia="仿宋_GB2312"/>
          <w:sz w:val="32"/>
          <w:szCs w:val="32"/>
        </w:rPr>
        <w:t>年内通过公开竞争方式产生的同类项目的政府采购结果，本系统下级购买主体确实需要直接采用。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发生了不可预见的紧急情况不能从其他供应商处采购。市场供应能力、供应时间能满足应急需要的，采购人不得因紧急采购排除竞争。由于采购人缺乏合理规划导致项目具有紧急性的，不具备不可预见性，不属于该条款规定的情形。</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（三）必须保证原有采购项目一致性或者服务配套的要求，需要继续从原供应商处添购，且添购资金总额不超过原合同采购金额百分之十的。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（四）需要执行政府采购政策等特殊情况的。</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二、申请和审批</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（一）确定采购需求。</w:t>
      </w:r>
      <w:r>
        <w:rPr>
          <w:rFonts w:hint="eastAsia" w:ascii="仿宋_GB2312" w:eastAsia="仿宋_GB2312"/>
          <w:sz w:val="32"/>
          <w:szCs w:val="32"/>
        </w:rPr>
        <w:t>采购人应当在采购活动开始前按照本单位采购内控措施和采购需求事前审查工作机制有关规定，落实采购人的主体责任，开展采购需求调查，确定采购需求，明确实现项目目标的所有技术、商务要求，对是否符合法定情形应当充分论证和审查。</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（二）组织专业人员论证。</w:t>
      </w:r>
      <w:r>
        <w:rPr>
          <w:rFonts w:hint="eastAsia" w:ascii="仿宋_GB2312" w:eastAsia="仿宋_GB2312"/>
          <w:sz w:val="32"/>
          <w:szCs w:val="32"/>
        </w:rPr>
        <w:t>采购人应当组织</w:t>
      </w:r>
      <w:r>
        <w:rPr>
          <w:rFonts w:ascii="仿宋_GB2312" w:eastAsia="仿宋_GB2312"/>
          <w:sz w:val="32"/>
          <w:szCs w:val="32"/>
        </w:rPr>
        <w:t>3</w:t>
      </w:r>
      <w:r>
        <w:rPr>
          <w:rFonts w:hint="eastAsia" w:ascii="仿宋_GB2312" w:eastAsia="仿宋_GB2312"/>
          <w:sz w:val="32"/>
          <w:szCs w:val="32"/>
        </w:rPr>
        <w:t>名以上专业人员分别对只能从唯一供应商采购进行论证。专业人员由采购人自行选定</w:t>
      </w:r>
      <w:r>
        <w:rPr>
          <w:rFonts w:ascii="仿宋_GB2312" w:eastAsia="仿宋_GB2312"/>
          <w:sz w:val="32"/>
          <w:szCs w:val="32"/>
        </w:rPr>
        <w:t>,</w:t>
      </w:r>
      <w:r>
        <w:rPr>
          <w:rFonts w:hint="eastAsia" w:ascii="仿宋_GB2312" w:eastAsia="仿宋_GB2312"/>
          <w:sz w:val="32"/>
          <w:szCs w:val="32"/>
        </w:rPr>
        <w:t>但选定的专业人员不得与采购人存在利害关系。专业人员应当客观、独立地出具完整、清晰和明确的论证意见，并指明符合的适用情形。论证意见应按照规定格式由专业人员填写（见附件</w:t>
      </w:r>
      <w:r>
        <w:rPr>
          <w:rFonts w:ascii="仿宋_GB2312" w:eastAsia="仿宋_GB2312"/>
          <w:sz w:val="32"/>
          <w:szCs w:val="32"/>
        </w:rPr>
        <w:t>1</w:t>
      </w:r>
      <w:r>
        <w:rPr>
          <w:rFonts w:hint="eastAsia" w:ascii="仿宋_GB2312" w:eastAsia="仿宋_GB2312"/>
          <w:sz w:val="32"/>
          <w:szCs w:val="32"/>
        </w:rPr>
        <w:t>）。</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（三）开展审核前公示。</w:t>
      </w:r>
      <w:r>
        <w:rPr>
          <w:rFonts w:hint="eastAsia" w:ascii="仿宋_GB2312" w:eastAsia="仿宋_GB2312"/>
          <w:sz w:val="32"/>
          <w:szCs w:val="32"/>
        </w:rPr>
        <w:t>采购人、采购代理机构应当在采购活动开始前在浙江政府采购网公示单一来源项目内容，并按照规定格式发布公示文书。公示期不得少于</w:t>
      </w:r>
      <w:r>
        <w:rPr>
          <w:rFonts w:ascii="仿宋_GB2312" w:eastAsia="仿宋_GB2312"/>
          <w:sz w:val="32"/>
          <w:szCs w:val="32"/>
        </w:rPr>
        <w:t>5</w:t>
      </w:r>
      <w:r>
        <w:rPr>
          <w:rFonts w:hint="eastAsia" w:ascii="仿宋_GB2312" w:eastAsia="仿宋_GB2312"/>
          <w:sz w:val="32"/>
          <w:szCs w:val="32"/>
        </w:rPr>
        <w:t>个工作日，公示内容应当包括：</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．采购人、采购项目名称和内容；</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．拟采购的货物或者服务的说明；</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．采用单一来源采购方式的原因及相关说明；</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．拟定的唯一供应商名称、地址；</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．专业人员对相关供应商因专利、专有技术等原因具有唯一性的具体论证意见，以及专业人员的姓名、工作单位和职称；</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．公示的期限；</w:t>
      </w:r>
    </w:p>
    <w:p>
      <w:pPr>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．采购人、采购代理机构、财政部门的联系地址、联系人和联系电话。</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任何供应商、单位或者个人对采用单一来源采购方式公示有异议的，可以在公示期内将书面意见反馈给采购人、采购代理机构，并同时抄送财政部门。采购人、采购代理机构收到对采用单一</w:t>
      </w:r>
      <w:r>
        <w:rPr>
          <w:rFonts w:hint="eastAsia" w:ascii="仿宋_GB2312" w:eastAsia="仿宋_GB2312"/>
          <w:sz w:val="32"/>
          <w:szCs w:val="32"/>
          <w:lang w:val="en-US" w:eastAsia="zh-CN"/>
        </w:rPr>
        <w:t>来</w:t>
      </w:r>
      <w:r>
        <w:rPr>
          <w:rFonts w:hint="eastAsia" w:ascii="仿宋_GB2312" w:eastAsia="仿宋_GB2312"/>
          <w:sz w:val="32"/>
          <w:szCs w:val="32"/>
        </w:rPr>
        <w:t>源采购方式公示的异议后，应当在公示期满后</w:t>
      </w:r>
      <w:r>
        <w:rPr>
          <w:rFonts w:ascii="仿宋_GB2312" w:eastAsia="仿宋_GB2312"/>
          <w:sz w:val="32"/>
          <w:szCs w:val="32"/>
        </w:rPr>
        <w:t>5</w:t>
      </w:r>
      <w:r>
        <w:rPr>
          <w:rFonts w:hint="eastAsia" w:ascii="仿宋_GB2312" w:eastAsia="仿宋_GB2312"/>
          <w:sz w:val="32"/>
          <w:szCs w:val="32"/>
        </w:rPr>
        <w:t>个工作日内，组织专业人员补充论证，论证后认为异议成立的，应当依法采取其他采购方式；论证后认为异议不成立的，应当将异议意见、论证意见与公示情况一并报财政部门。采购人、采购代理机构应当将补充论证的结论告知提出异议的供应商、单位或者个人。</w:t>
      </w:r>
      <w:r>
        <w:rPr>
          <w:rFonts w:ascii="仿宋_GB2312" w:eastAsia="仿宋_GB2312"/>
          <w:sz w:val="32"/>
          <w:szCs w:val="32"/>
        </w:rPr>
        <w:t xml:space="preserve"> </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（四）开展集体决策。</w:t>
      </w:r>
      <w:r>
        <w:rPr>
          <w:rFonts w:hint="eastAsia" w:ascii="仿宋_GB2312" w:eastAsia="仿宋_GB2312"/>
          <w:sz w:val="32"/>
          <w:szCs w:val="32"/>
        </w:rPr>
        <w:t>采购人应当加强政府采购内控管理，规范采购程序，要在采购需求管理内控制度中明确采用单一来源采购方式的内控措施。本单位或本系统拟采用单一来源采购方式开展的项目，应按照“三重一大”事项集体决策方式开展集体决策，形成会议纪要或会议记录。</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（五）提出单一来源采购申请。</w:t>
      </w:r>
      <w:r>
        <w:rPr>
          <w:rFonts w:hint="eastAsia" w:ascii="仿宋_GB2312" w:eastAsia="仿宋_GB2312"/>
          <w:sz w:val="32"/>
          <w:szCs w:val="32"/>
        </w:rPr>
        <w:t>采购人应当依法向财政部门提出单一来源采购申请。内容应包括：采购人名称、联系人及联系电话、采购项目名称、项目概况等；项目预算金额（如属于采购需求具有相对固定性、延续性且价格变化幅度较小的服务项目，拟一次性采购不超过三年履行期限的，还应在正文中明确采购时限、每年预算金额、合计预算金额等）及资金来源；申请采用单一来源采购方式的理由，包括采购需求调查结论、法律依据等；拟定的唯一供应商名称、地址等内容。</w:t>
      </w: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达到公开招标数额标准的政府采购项目，符合单一来源采购方式适用情形，拟采用单一来源采购方式的，在采购活动开始前，</w:t>
      </w:r>
      <w:r>
        <w:rPr>
          <w:rFonts w:hint="eastAsia" w:ascii="仿宋_GB2312" w:eastAsia="仿宋_GB2312"/>
          <w:color w:val="auto"/>
          <w:sz w:val="32"/>
          <w:szCs w:val="32"/>
          <w:lang w:val="en-US" w:eastAsia="zh-CN"/>
        </w:rPr>
        <w:t>采购人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有下属事业单位的</w:t>
      </w:r>
      <w:r>
        <w:rPr>
          <w:rFonts w:hint="eastAsia" w:ascii="仿宋_GB2312" w:eastAsia="仿宋_GB2312"/>
          <w:color w:val="auto"/>
          <w:sz w:val="32"/>
          <w:szCs w:val="32"/>
        </w:rPr>
        <w:t>报主管预算单位同意后</w:t>
      </w:r>
      <w:r>
        <w:rPr>
          <w:rFonts w:hint="eastAsia" w:ascii="仿宋_GB2312" w:eastAsia="仿宋_GB2312"/>
          <w:color w:val="auto"/>
          <w:sz w:val="32"/>
          <w:szCs w:val="32"/>
          <w:lang w:eastAsia="zh-CN"/>
        </w:rPr>
        <w:t>）</w:t>
      </w:r>
      <w:r>
        <w:rPr>
          <w:rFonts w:hint="eastAsia" w:ascii="仿宋_GB2312" w:eastAsia="仿宋_GB2312"/>
          <w:color w:val="auto"/>
          <w:sz w:val="32"/>
          <w:szCs w:val="32"/>
        </w:rPr>
        <w:t>应当在省级以上财政部门指定媒体上公示，公示内容应符合《政府采购非招标采购方式管理办法》（中华人民共和国第</w:t>
      </w:r>
      <w:r>
        <w:rPr>
          <w:rFonts w:ascii="仿宋_GB2312" w:eastAsia="仿宋_GB2312"/>
          <w:color w:val="auto"/>
          <w:sz w:val="32"/>
          <w:szCs w:val="32"/>
        </w:rPr>
        <w:t>74</w:t>
      </w:r>
      <w:r>
        <w:rPr>
          <w:rFonts w:hint="eastAsia" w:ascii="仿宋_GB2312" w:eastAsia="仿宋_GB2312"/>
          <w:color w:val="auto"/>
          <w:sz w:val="32"/>
          <w:szCs w:val="32"/>
        </w:rPr>
        <w:t>号令）第三十八条之规定，公示期不得少于</w:t>
      </w:r>
      <w:r>
        <w:rPr>
          <w:rFonts w:ascii="仿宋_GB2312" w:eastAsia="仿宋_GB2312"/>
          <w:color w:val="auto"/>
          <w:sz w:val="32"/>
          <w:szCs w:val="32"/>
        </w:rPr>
        <w:t>5</w:t>
      </w:r>
      <w:r>
        <w:rPr>
          <w:rFonts w:hint="eastAsia" w:ascii="仿宋_GB2312" w:eastAsia="仿宋_GB2312"/>
          <w:color w:val="auto"/>
          <w:sz w:val="32"/>
          <w:szCs w:val="32"/>
        </w:rPr>
        <w:t>个工作日。专业人员对只能从唯一供应商处采购的论证意见应当完整、清晰、明确，依据充分合理，意见不明确或含混不清或者依据不充分的，属于无效意见，不作为审核依据。在单一来源采购方式公示期，供应商、单位或者个人对采用单一来源采购方式有异议，各方又不能达成一致意见的，财政部门不予批准采用单一来源采购方式。公示期结束后，将公示和专家论证情况报经县政府同意，填写《公开招标数额以上县政府单一来源审批表》（附件</w:t>
      </w:r>
      <w:r>
        <w:rPr>
          <w:rFonts w:ascii="仿宋_GB2312" w:eastAsia="仿宋_GB2312"/>
          <w:color w:val="auto"/>
          <w:sz w:val="32"/>
          <w:szCs w:val="32"/>
        </w:rPr>
        <w:t>3</w:t>
      </w:r>
      <w:r>
        <w:rPr>
          <w:rFonts w:hint="eastAsia" w:ascii="仿宋_GB2312" w:eastAsia="仿宋_GB2312"/>
          <w:color w:val="auto"/>
          <w:sz w:val="32"/>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三、项目执行</w:t>
      </w:r>
    </w:p>
    <w:p>
      <w:pPr>
        <w:spacing w:line="580" w:lineRule="exact"/>
        <w:ind w:firstLine="643" w:firstLineChars="200"/>
        <w:rPr>
          <w:rFonts w:ascii="仿宋_GB2312" w:eastAsia="仿宋_GB2312"/>
          <w:color w:val="auto"/>
          <w:sz w:val="32"/>
          <w:szCs w:val="32"/>
        </w:rPr>
      </w:pPr>
      <w:r>
        <w:rPr>
          <w:rFonts w:hint="eastAsia" w:ascii="楷体_GB2312" w:eastAsia="楷体_GB2312"/>
          <w:b/>
          <w:sz w:val="32"/>
          <w:szCs w:val="32"/>
        </w:rPr>
        <w:t>（一）编报政府采购建议书。</w:t>
      </w:r>
      <w:r>
        <w:rPr>
          <w:rFonts w:hint="eastAsia" w:ascii="仿宋_GB2312" w:eastAsia="仿宋_GB2312"/>
          <w:sz w:val="32"/>
          <w:szCs w:val="32"/>
        </w:rPr>
        <w:t>采购</w:t>
      </w:r>
      <w:r>
        <w:rPr>
          <w:rFonts w:hint="eastAsia" w:ascii="仿宋_GB2312" w:eastAsia="仿宋_GB2312"/>
          <w:color w:val="auto"/>
          <w:sz w:val="32"/>
          <w:szCs w:val="32"/>
        </w:rPr>
        <w:t>人在政府采购管理系统编报建议书，未达到公开招标数额标准的单一来源将单一来源申请表（附件</w:t>
      </w:r>
      <w:r>
        <w:rPr>
          <w:rFonts w:ascii="仿宋_GB2312" w:eastAsia="仿宋_GB2312"/>
          <w:color w:val="auto"/>
          <w:sz w:val="32"/>
          <w:szCs w:val="32"/>
        </w:rPr>
        <w:t>2</w:t>
      </w:r>
      <w:r>
        <w:rPr>
          <w:rFonts w:hint="eastAsia" w:ascii="仿宋_GB2312" w:eastAsia="仿宋_GB2312"/>
          <w:color w:val="auto"/>
          <w:sz w:val="32"/>
          <w:szCs w:val="32"/>
        </w:rPr>
        <w:t>）和三重一大作为采购建议书附件。达到公开招标数额标准的须上传《公开招标数额以上县政府单一来源审批表》（见附件</w:t>
      </w:r>
      <w:r>
        <w:rPr>
          <w:rFonts w:ascii="仿宋_GB2312" w:eastAsia="仿宋_GB2312"/>
          <w:color w:val="auto"/>
          <w:sz w:val="32"/>
          <w:szCs w:val="32"/>
        </w:rPr>
        <w:t>3</w:t>
      </w:r>
      <w:r>
        <w:rPr>
          <w:rFonts w:hint="eastAsia" w:ascii="仿宋_GB2312" w:eastAsia="仿宋_GB2312"/>
          <w:color w:val="auto"/>
          <w:sz w:val="32"/>
          <w:szCs w:val="32"/>
        </w:rPr>
        <w:t>）、专家论证、公示网页截图等材料。操作流程详见《单一来源操作流程》（附件</w:t>
      </w:r>
      <w:r>
        <w:rPr>
          <w:rFonts w:ascii="仿宋_GB2312" w:eastAsia="仿宋_GB2312"/>
          <w:color w:val="auto"/>
          <w:sz w:val="32"/>
          <w:szCs w:val="32"/>
        </w:rPr>
        <w:t>4</w:t>
      </w:r>
      <w:r>
        <w:rPr>
          <w:rFonts w:hint="eastAsia" w:ascii="仿宋_GB2312" w:eastAsia="仿宋_GB2312"/>
          <w:color w:val="auto"/>
          <w:sz w:val="32"/>
          <w:szCs w:val="32"/>
        </w:rPr>
        <w:t>）。</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（二）编制单一来源采购文件。</w:t>
      </w:r>
      <w:r>
        <w:rPr>
          <w:rFonts w:hint="eastAsia" w:ascii="仿宋_GB2312" w:eastAsia="仿宋_GB2312"/>
          <w:sz w:val="32"/>
          <w:szCs w:val="32"/>
        </w:rPr>
        <w:t>采购人或其委托的采购代理机构应当根据政府采购政策、采购预算、采购需求编制单一来源采购文件。</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（三）组织单一来源采购协商。</w:t>
      </w:r>
      <w:r>
        <w:rPr>
          <w:rFonts w:hint="eastAsia" w:ascii="仿宋_GB2312" w:eastAsia="仿宋_GB2312"/>
          <w:sz w:val="32"/>
          <w:szCs w:val="32"/>
        </w:rPr>
        <w:t>采购人或其委托的采购代理机构从政府采购专家库中抽取具有相关经验的专业人员与供应商商定合理的成交价格并保证采购项目质量。单一来源采购人员应当编写协商情况记录，由采购全体人员签字认可。</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（四）确定成交供应商。</w:t>
      </w:r>
      <w:r>
        <w:rPr>
          <w:rFonts w:hint="eastAsia" w:ascii="仿宋_GB2312" w:eastAsia="仿宋_GB2312"/>
          <w:sz w:val="32"/>
          <w:szCs w:val="32"/>
        </w:rPr>
        <w:t>采购人在自行完成单一来源协商或收到代理机构提交的协商报告后</w:t>
      </w:r>
      <w:r>
        <w:rPr>
          <w:rFonts w:ascii="仿宋_GB2312" w:eastAsia="仿宋_GB2312"/>
          <w:sz w:val="32"/>
          <w:szCs w:val="32"/>
        </w:rPr>
        <w:t>5</w:t>
      </w:r>
      <w:r>
        <w:rPr>
          <w:rFonts w:hint="eastAsia" w:ascii="仿宋_GB2312" w:eastAsia="仿宋_GB2312"/>
          <w:sz w:val="32"/>
          <w:szCs w:val="32"/>
        </w:rPr>
        <w:t>个工作日内根据协商结果确定成交供应商。</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（五）发布采购成交结果公告。</w:t>
      </w:r>
      <w:r>
        <w:rPr>
          <w:rFonts w:hint="eastAsia" w:ascii="仿宋_GB2312" w:eastAsia="仿宋_GB2312"/>
          <w:sz w:val="32"/>
          <w:szCs w:val="32"/>
        </w:rPr>
        <w:t>采购人或其委托的采购代理机构应当自成交供应商确定之日起</w:t>
      </w:r>
      <w:r>
        <w:rPr>
          <w:rFonts w:ascii="仿宋_GB2312" w:eastAsia="仿宋_GB2312"/>
          <w:sz w:val="32"/>
          <w:szCs w:val="32"/>
        </w:rPr>
        <w:t>2</w:t>
      </w:r>
      <w:r>
        <w:rPr>
          <w:rFonts w:hint="eastAsia" w:ascii="仿宋_GB2312" w:eastAsia="仿宋_GB2312"/>
          <w:sz w:val="32"/>
          <w:szCs w:val="32"/>
        </w:rPr>
        <w:t>个工作日内，在浙江政府采购网公告成交结果，同时发出成交通知书。</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（六）签订采购合同并公示。</w:t>
      </w:r>
      <w:r>
        <w:rPr>
          <w:rFonts w:hint="eastAsia" w:ascii="仿宋_GB2312" w:eastAsia="仿宋_GB2312"/>
          <w:sz w:val="32"/>
          <w:szCs w:val="32"/>
        </w:rPr>
        <w:t>采购人与成交供应商应当在成交通知书发出之日起</w:t>
      </w:r>
      <w:r>
        <w:rPr>
          <w:rFonts w:ascii="仿宋_GB2312" w:eastAsia="仿宋_GB2312"/>
          <w:sz w:val="32"/>
          <w:szCs w:val="32"/>
        </w:rPr>
        <w:t>30</w:t>
      </w:r>
      <w:r>
        <w:rPr>
          <w:rFonts w:hint="eastAsia" w:ascii="仿宋_GB2312" w:eastAsia="仿宋_GB2312"/>
          <w:sz w:val="32"/>
          <w:szCs w:val="32"/>
        </w:rPr>
        <w:t>日内，按照采购文件确定的事项签订政府采购合同。采购人应当自合同签订之日起</w:t>
      </w:r>
      <w:r>
        <w:rPr>
          <w:rFonts w:ascii="仿宋_GB2312" w:eastAsia="仿宋_GB2312"/>
          <w:sz w:val="32"/>
          <w:szCs w:val="32"/>
        </w:rPr>
        <w:t>2</w:t>
      </w:r>
      <w:r>
        <w:rPr>
          <w:rFonts w:hint="eastAsia" w:ascii="仿宋_GB2312" w:eastAsia="仿宋_GB2312"/>
          <w:sz w:val="32"/>
          <w:szCs w:val="32"/>
        </w:rPr>
        <w:t>个工作日内，将合同在浙江政府采购网上公告，涉及国家秘密、商业秘密的内容除外。</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（七）组织履约验收。</w:t>
      </w:r>
      <w:r>
        <w:rPr>
          <w:rFonts w:hint="eastAsia" w:ascii="仿宋_GB2312" w:eastAsia="仿宋_GB2312"/>
          <w:sz w:val="32"/>
          <w:szCs w:val="32"/>
        </w:rPr>
        <w:t>采购人或其委托的采购代理机构应当按照采购合同规定组织履约验收，并出具验收书。</w:t>
      </w:r>
    </w:p>
    <w:p>
      <w:pPr>
        <w:spacing w:line="580" w:lineRule="exact"/>
        <w:ind w:firstLine="643" w:firstLineChars="200"/>
        <w:rPr>
          <w:rFonts w:ascii="仿宋_GB2312" w:eastAsia="仿宋_GB2312"/>
          <w:sz w:val="32"/>
          <w:szCs w:val="32"/>
        </w:rPr>
      </w:pPr>
      <w:r>
        <w:rPr>
          <w:rFonts w:hint="eastAsia" w:ascii="楷体_GB2312" w:eastAsia="楷体_GB2312"/>
          <w:b/>
          <w:sz w:val="32"/>
          <w:szCs w:val="32"/>
        </w:rPr>
        <w:t>（八）终止情形。</w:t>
      </w:r>
      <w:r>
        <w:rPr>
          <w:rFonts w:hint="eastAsia" w:ascii="仿宋_GB2312" w:eastAsia="仿宋_GB2312"/>
          <w:sz w:val="32"/>
          <w:szCs w:val="32"/>
        </w:rPr>
        <w:t>出现下列情形之一的，采购人或其委托的采购代理机构应当终止采购活动，发布项目终止公告并说明原因，重新开展采购活动：</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．因情况变化，不再符合规定的单一来源采购方式适用情形的；</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．出现影响采购公正的违法、违规行为的；</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．报价超过采购预算的。</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四、工作要求</w:t>
      </w:r>
    </w:p>
    <w:p>
      <w:pPr>
        <w:spacing w:line="580" w:lineRule="exact"/>
        <w:ind w:firstLine="643" w:firstLineChars="200"/>
        <w:rPr>
          <w:rFonts w:ascii="楷体_GB2312" w:eastAsia="楷体_GB2312"/>
          <w:b/>
          <w:sz w:val="32"/>
          <w:szCs w:val="32"/>
        </w:rPr>
      </w:pPr>
      <w:r>
        <w:rPr>
          <w:rFonts w:hint="eastAsia" w:ascii="楷体_GB2312" w:eastAsia="楷体_GB2312"/>
          <w:b/>
          <w:sz w:val="32"/>
          <w:szCs w:val="32"/>
        </w:rPr>
        <w:t>（一）落实采购人主体责任</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采购人是采购活动的组织者，是选择采用单一来源采购方式的第一责任人，依法承担主体责任。各采购人应当按照政府采购管理制度的要求，依法向财政部门提交合规、明确、完整的申请材料，并对其合规性、真实性负责。</w:t>
      </w:r>
    </w:p>
    <w:p>
      <w:pPr>
        <w:spacing w:line="580" w:lineRule="exact"/>
        <w:ind w:firstLine="643" w:firstLineChars="200"/>
        <w:rPr>
          <w:rFonts w:ascii="楷体_GB2312" w:eastAsia="楷体_GB2312"/>
          <w:b/>
          <w:sz w:val="32"/>
          <w:szCs w:val="32"/>
        </w:rPr>
      </w:pPr>
      <w:r>
        <w:rPr>
          <w:rFonts w:hint="eastAsia" w:ascii="楷体_GB2312" w:eastAsia="楷体_GB2312"/>
          <w:b/>
          <w:sz w:val="32"/>
          <w:szCs w:val="32"/>
        </w:rPr>
        <w:t>（二）提升代理机构专业化水准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采购代理机构和专业人员应当提升专业化服务水平，在采购方式选择上为采购人提供专业支撑，依法作出独立判断。采购代理机构应当对代理项目执行情况说明的真实性负责，专业人员应当对出具的论证意见负责。</w:t>
      </w:r>
    </w:p>
    <w:p>
      <w:pPr>
        <w:spacing w:line="580" w:lineRule="exact"/>
        <w:ind w:firstLine="643" w:firstLineChars="200"/>
        <w:rPr>
          <w:rFonts w:ascii="楷体_GB2312" w:eastAsia="楷体_GB2312"/>
          <w:b/>
          <w:sz w:val="32"/>
          <w:szCs w:val="32"/>
        </w:rPr>
      </w:pPr>
      <w:r>
        <w:rPr>
          <w:rFonts w:hint="eastAsia" w:ascii="楷体_GB2312" w:eastAsia="楷体_GB2312"/>
          <w:b/>
          <w:sz w:val="32"/>
          <w:szCs w:val="32"/>
        </w:rPr>
        <w:t>（三）依法加强审查监管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财政部门按照深化政府采购制度改革要求及政府采购法律法规制度的规定从严审批，并对单一来源采购方式执行情况进行监督检查。财政部门在政府采购项目投诉、举报处理和监督检查过程中，发现采购人、采购代理机构、供应商及评审专家违反《中华人民共和国政府采购法》等相关法律规定的，将依法作出行政处罚；对情节严重或者拒不改正的，将有关线索移交纪检监察、审计部门处理；对涉嫌刑事犯罪的，将依法移交司法机关追究刑事责任。</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五、其他事项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（一）涉密政府采购项目采用单一来源采购方式采购的，按财政部、国家保密局《涉密政府采购管理暂行办法》执行。</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（二）如政策规定发生变化的，按最新政策规定执行。</w:t>
      </w:r>
    </w:p>
    <w:p>
      <w:pPr>
        <w:spacing w:line="580" w:lineRule="exact"/>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．单一来源采购方式专业人员论证意见</w:t>
      </w:r>
    </w:p>
    <w:p>
      <w:pPr>
        <w:numPr>
          <w:ilvl w:val="0"/>
          <w:numId w:val="1"/>
        </w:numPr>
        <w:spacing w:line="580" w:lineRule="exact"/>
        <w:ind w:firstLine="1600" w:firstLineChars="500"/>
        <w:rPr>
          <w:rFonts w:ascii="仿宋_GB2312" w:eastAsia="仿宋_GB2312"/>
          <w:sz w:val="32"/>
          <w:szCs w:val="32"/>
        </w:rPr>
      </w:pPr>
      <w:r>
        <w:rPr>
          <w:rFonts w:hint="eastAsia" w:ascii="仿宋_GB2312" w:eastAsia="仿宋_GB2312"/>
          <w:sz w:val="32"/>
          <w:szCs w:val="32"/>
        </w:rPr>
        <w:t>单一来源采购方式申请审批表</w:t>
      </w:r>
    </w:p>
    <w:p>
      <w:pPr>
        <w:numPr>
          <w:ilvl w:val="0"/>
          <w:numId w:val="1"/>
        </w:numPr>
        <w:spacing w:line="580" w:lineRule="exact"/>
        <w:ind w:firstLine="1600" w:firstLineChars="500"/>
        <w:rPr>
          <w:rFonts w:ascii="仿宋_GB2312" w:eastAsia="仿宋_GB2312"/>
          <w:sz w:val="32"/>
          <w:szCs w:val="32"/>
        </w:rPr>
      </w:pPr>
      <w:r>
        <w:rPr>
          <w:rFonts w:hint="eastAsia" w:ascii="仿宋_GB2312" w:eastAsia="仿宋_GB2312"/>
          <w:sz w:val="32"/>
          <w:szCs w:val="32"/>
        </w:rPr>
        <w:t>公开招标数额以上县政府单一来源审批表</w:t>
      </w:r>
    </w:p>
    <w:p>
      <w:pPr>
        <w:numPr>
          <w:ilvl w:val="0"/>
          <w:numId w:val="1"/>
        </w:numPr>
        <w:spacing w:line="580" w:lineRule="exact"/>
        <w:ind w:firstLine="1600" w:firstLineChars="500"/>
        <w:rPr>
          <w:rFonts w:ascii="仿宋_GB2312" w:eastAsia="仿宋_GB2312"/>
          <w:sz w:val="32"/>
          <w:szCs w:val="32"/>
        </w:rPr>
      </w:pPr>
      <w:r>
        <w:rPr>
          <w:rFonts w:hint="eastAsia" w:ascii="仿宋_GB2312" w:eastAsia="仿宋_GB2312"/>
          <w:sz w:val="32"/>
          <w:szCs w:val="32"/>
        </w:rPr>
        <w:t>单一来源采购方式操作流程</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ind w:firstLine="5440" w:firstLineChars="1700"/>
        <w:rPr>
          <w:rFonts w:ascii="仿宋_GB2312" w:eastAsia="仿宋_GB2312"/>
          <w:sz w:val="32"/>
          <w:szCs w:val="32"/>
        </w:rPr>
      </w:pPr>
      <w:r>
        <w:rPr>
          <w:rFonts w:hint="eastAsia" w:ascii="仿宋_GB2312" w:eastAsia="仿宋_GB2312"/>
          <w:sz w:val="32"/>
          <w:szCs w:val="32"/>
        </w:rPr>
        <w:t>安吉县财政局</w:t>
      </w:r>
    </w:p>
    <w:p>
      <w:pPr>
        <w:spacing w:line="580" w:lineRule="exact"/>
        <w:ind w:firstLine="5280" w:firstLineChars="1650"/>
        <w:rPr>
          <w:rFonts w:ascii="仿宋_GB2312" w:eastAsia="仿宋_GB2312"/>
          <w:sz w:val="32"/>
          <w:szCs w:val="32"/>
        </w:rPr>
      </w:pP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
      <w:pPr>
        <w:spacing w:line="580" w:lineRule="exact"/>
        <w:jc w:val="center"/>
        <w:rPr>
          <w:rFonts w:ascii="方正小标宋简体" w:eastAsia="方正小标宋简体"/>
          <w:sz w:val="40"/>
          <w:szCs w:val="40"/>
        </w:rPr>
      </w:pPr>
      <w:r>
        <w:rPr>
          <w:rFonts w:hint="eastAsia" w:ascii="方正小标宋简体" w:eastAsia="方正小标宋简体"/>
          <w:sz w:val="40"/>
          <w:szCs w:val="40"/>
        </w:rPr>
        <w:t>单一来源采购方式专业人员论证意见</w:t>
      </w:r>
    </w:p>
    <w:p>
      <w:pPr>
        <w:spacing w:line="580" w:lineRule="exact"/>
        <w:rPr>
          <w:rFonts w:ascii="黑体" w:hAnsi="黑体" w:eastAsia="黑体"/>
          <w:sz w:val="32"/>
          <w:szCs w:val="32"/>
        </w:rPr>
      </w:pPr>
    </w:p>
    <w:tbl>
      <w:tblPr>
        <w:tblStyle w:val="4"/>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3082"/>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7" w:type="dxa"/>
            <w:vMerge w:val="restart"/>
            <w:tcBorders>
              <w:top w:val="single" w:color="auto" w:sz="12" w:space="0"/>
              <w:left w:val="single" w:color="auto" w:sz="12" w:space="0"/>
            </w:tcBorders>
            <w:vAlign w:val="center"/>
          </w:tcPr>
          <w:p>
            <w:pPr>
              <w:jc w:val="center"/>
              <w:rPr>
                <w:rFonts w:ascii="宋体" w:cs="宋体"/>
                <w:szCs w:val="21"/>
              </w:rPr>
            </w:pPr>
            <w:r>
              <w:rPr>
                <w:rFonts w:hint="eastAsia" w:ascii="宋体" w:hAnsi="宋体" w:cs="宋体"/>
                <w:szCs w:val="21"/>
              </w:rPr>
              <w:t>专业人员信息</w:t>
            </w:r>
          </w:p>
        </w:tc>
        <w:tc>
          <w:tcPr>
            <w:tcW w:w="6912" w:type="dxa"/>
            <w:gridSpan w:val="2"/>
            <w:tcBorders>
              <w:top w:val="single" w:color="auto" w:sz="12" w:space="0"/>
              <w:right w:val="single" w:color="auto" w:sz="12" w:space="0"/>
            </w:tcBorders>
            <w:vAlign w:val="center"/>
          </w:tcPr>
          <w:p>
            <w:pPr>
              <w:rPr>
                <w:rFonts w:ascii="宋体" w:cs="宋体"/>
                <w:szCs w:val="21"/>
              </w:rPr>
            </w:pPr>
            <w:r>
              <w:rPr>
                <w:rFonts w:hint="eastAsia" w:ascii="宋体" w:hAnsi="宋体" w:cs="宋体"/>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7" w:type="dxa"/>
            <w:vMerge w:val="continue"/>
            <w:tcBorders>
              <w:left w:val="single" w:color="auto" w:sz="12" w:space="0"/>
            </w:tcBorders>
            <w:vAlign w:val="center"/>
          </w:tcPr>
          <w:p>
            <w:pPr>
              <w:widowControl/>
              <w:jc w:val="center"/>
              <w:rPr>
                <w:rFonts w:ascii="宋体" w:cs="宋体"/>
                <w:szCs w:val="21"/>
              </w:rPr>
            </w:pPr>
          </w:p>
        </w:tc>
        <w:tc>
          <w:tcPr>
            <w:tcW w:w="6912" w:type="dxa"/>
            <w:gridSpan w:val="2"/>
            <w:tcBorders>
              <w:right w:val="single" w:color="auto" w:sz="12" w:space="0"/>
            </w:tcBorders>
            <w:vAlign w:val="center"/>
          </w:tcPr>
          <w:p>
            <w:pPr>
              <w:rPr>
                <w:rFonts w:ascii="宋体" w:cs="宋体"/>
                <w:szCs w:val="21"/>
              </w:rPr>
            </w:pPr>
            <w:r>
              <w:rPr>
                <w:rFonts w:hint="eastAsia" w:ascii="宋体" w:hAnsi="宋体" w:cs="宋体"/>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7" w:type="dxa"/>
            <w:vMerge w:val="continue"/>
            <w:tcBorders>
              <w:left w:val="single" w:color="auto" w:sz="12" w:space="0"/>
            </w:tcBorders>
            <w:vAlign w:val="center"/>
          </w:tcPr>
          <w:p>
            <w:pPr>
              <w:widowControl/>
              <w:jc w:val="center"/>
              <w:rPr>
                <w:rFonts w:ascii="宋体" w:cs="宋体"/>
                <w:szCs w:val="21"/>
              </w:rPr>
            </w:pPr>
          </w:p>
        </w:tc>
        <w:tc>
          <w:tcPr>
            <w:tcW w:w="6912" w:type="dxa"/>
            <w:gridSpan w:val="2"/>
            <w:tcBorders>
              <w:right w:val="single" w:color="auto" w:sz="12" w:space="0"/>
            </w:tcBorders>
            <w:vAlign w:val="center"/>
          </w:tcPr>
          <w:p>
            <w:pPr>
              <w:rPr>
                <w:rFonts w:ascii="宋体" w:cs="宋体"/>
                <w:szCs w:val="21"/>
              </w:rPr>
            </w:pPr>
            <w:r>
              <w:rPr>
                <w:rFonts w:hint="eastAsia" w:ascii="宋体" w:hAnsi="宋体" w:cs="宋体"/>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7" w:type="dxa"/>
            <w:vMerge w:val="restart"/>
            <w:tcBorders>
              <w:left w:val="single" w:color="auto" w:sz="12" w:space="0"/>
            </w:tcBorders>
            <w:vAlign w:val="center"/>
          </w:tcPr>
          <w:p>
            <w:pPr>
              <w:jc w:val="center"/>
              <w:rPr>
                <w:rFonts w:ascii="宋体" w:cs="宋体"/>
                <w:szCs w:val="21"/>
              </w:rPr>
            </w:pPr>
            <w:r>
              <w:rPr>
                <w:rFonts w:hint="eastAsia" w:ascii="宋体" w:hAnsi="宋体" w:cs="宋体"/>
                <w:szCs w:val="21"/>
              </w:rPr>
              <w:t>项目信息</w:t>
            </w:r>
          </w:p>
        </w:tc>
        <w:tc>
          <w:tcPr>
            <w:tcW w:w="6912" w:type="dxa"/>
            <w:gridSpan w:val="2"/>
            <w:tcBorders>
              <w:right w:val="single" w:color="auto" w:sz="12" w:space="0"/>
            </w:tcBorders>
            <w:vAlign w:val="center"/>
          </w:tcPr>
          <w:p>
            <w:pPr>
              <w:rPr>
                <w:rFonts w:ascii="宋体" w:cs="宋体"/>
                <w:szCs w:val="21"/>
              </w:rPr>
            </w:pPr>
            <w:r>
              <w:rPr>
                <w:rFonts w:hint="eastAsia" w:ascii="宋体" w:hAnsi="宋体" w:cs="宋体"/>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7" w:type="dxa"/>
            <w:vMerge w:val="continue"/>
            <w:tcBorders>
              <w:left w:val="single" w:color="auto" w:sz="12" w:space="0"/>
            </w:tcBorders>
            <w:vAlign w:val="center"/>
          </w:tcPr>
          <w:p>
            <w:pPr>
              <w:jc w:val="center"/>
              <w:rPr>
                <w:rFonts w:ascii="宋体" w:cs="宋体"/>
                <w:szCs w:val="21"/>
              </w:rPr>
            </w:pPr>
          </w:p>
        </w:tc>
        <w:tc>
          <w:tcPr>
            <w:tcW w:w="6912" w:type="dxa"/>
            <w:gridSpan w:val="2"/>
            <w:tcBorders>
              <w:right w:val="single" w:color="auto" w:sz="12" w:space="0"/>
            </w:tcBorders>
            <w:vAlign w:val="center"/>
          </w:tcPr>
          <w:p>
            <w:pPr>
              <w:rPr>
                <w:rFonts w:ascii="宋体" w:cs="宋体"/>
                <w:szCs w:val="21"/>
              </w:rPr>
            </w:pPr>
            <w:r>
              <w:rPr>
                <w:rFonts w:hint="eastAsia" w:ascii="宋体" w:hAnsi="宋体" w:cs="宋体"/>
                <w:szCs w:val="21"/>
              </w:rPr>
              <w:t>项目预算金额：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7" w:type="dxa"/>
            <w:vMerge w:val="continue"/>
            <w:tcBorders>
              <w:left w:val="single" w:color="auto" w:sz="12" w:space="0"/>
            </w:tcBorders>
            <w:vAlign w:val="center"/>
          </w:tcPr>
          <w:p>
            <w:pPr>
              <w:widowControl/>
              <w:jc w:val="center"/>
              <w:rPr>
                <w:rFonts w:ascii="宋体" w:cs="宋体"/>
                <w:szCs w:val="21"/>
              </w:rPr>
            </w:pPr>
          </w:p>
        </w:tc>
        <w:tc>
          <w:tcPr>
            <w:tcW w:w="6912" w:type="dxa"/>
            <w:gridSpan w:val="2"/>
            <w:tcBorders>
              <w:right w:val="single" w:color="auto" w:sz="12" w:space="0"/>
            </w:tcBorders>
            <w:vAlign w:val="center"/>
          </w:tcPr>
          <w:p>
            <w:pPr>
              <w:rPr>
                <w:rFonts w:ascii="宋体" w:cs="宋体"/>
                <w:szCs w:val="21"/>
              </w:rPr>
            </w:pPr>
            <w:r>
              <w:rPr>
                <w:rFonts w:hint="eastAsia" w:ascii="宋体" w:hAnsi="宋体" w:cs="宋体"/>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5" w:hRule="atLeast"/>
          <w:jc w:val="center"/>
        </w:trPr>
        <w:tc>
          <w:tcPr>
            <w:tcW w:w="2217" w:type="dxa"/>
            <w:tcBorders>
              <w:left w:val="single" w:color="auto" w:sz="12" w:space="0"/>
            </w:tcBorders>
            <w:vAlign w:val="center"/>
          </w:tcPr>
          <w:p>
            <w:pPr>
              <w:jc w:val="center"/>
              <w:rPr>
                <w:rFonts w:ascii="宋体" w:cs="宋体"/>
                <w:szCs w:val="21"/>
              </w:rPr>
            </w:pPr>
            <w:r>
              <w:rPr>
                <w:rFonts w:hint="eastAsia" w:ascii="宋体" w:hAnsi="宋体" w:cs="宋体"/>
                <w:szCs w:val="21"/>
              </w:rPr>
              <w:t>专业人员论证意见</w:t>
            </w:r>
          </w:p>
        </w:tc>
        <w:tc>
          <w:tcPr>
            <w:tcW w:w="6912" w:type="dxa"/>
            <w:gridSpan w:val="2"/>
            <w:tcBorders>
              <w:right w:val="single" w:color="auto" w:sz="12" w:space="0"/>
            </w:tcBorders>
          </w:tcPr>
          <w:p>
            <w:pPr>
              <w:rPr>
                <w:rFonts w:ascii="宋体" w:cs="宋体"/>
                <w:szCs w:val="21"/>
              </w:rPr>
            </w:pPr>
            <w:r>
              <w:rPr>
                <w:rFonts w:hint="eastAsia" w:ascii="宋体" w:hAnsi="宋体" w:cs="宋体"/>
                <w:szCs w:val="21"/>
              </w:rPr>
              <w:t>（专业人员是</w:t>
            </w:r>
            <w:r>
              <w:rPr>
                <w:rFonts w:hint="eastAsia" w:ascii="宋体" w:hAnsi="宋体" w:cs="宋体"/>
                <w:color w:val="000000"/>
                <w:kern w:val="0"/>
                <w:szCs w:val="21"/>
              </w:rPr>
              <w:t>具有相应专业资质或资格的人员。</w:t>
            </w:r>
            <w:r>
              <w:rPr>
                <w:rFonts w:hint="eastAsia" w:ascii="宋体" w:hAnsi="宋体" w:cs="宋体"/>
                <w:szCs w:val="21"/>
              </w:rPr>
              <w:t>专业人员应当客观、独立地出具完整、清晰和明确的论证意见，并指明</w:t>
            </w:r>
            <w:r>
              <w:rPr>
                <w:rFonts w:hint="eastAsia" w:ascii="宋体" w:hAnsi="宋体" w:cs="宋体"/>
                <w:color w:val="000000"/>
                <w:szCs w:val="21"/>
              </w:rPr>
              <w:t>符合本通知第几种适用情形。其中：论证属于本通知第（三）种情形的政府采购项目，须提供原合同复印件</w:t>
            </w:r>
            <w:r>
              <w:rPr>
                <w:rFonts w:hint="eastAsia" w:ascii="宋体" w:hAnsi="宋体" w:cs="宋体"/>
                <w:szCs w:val="21"/>
              </w:rPr>
              <w:t>，确认添购资金总额不超过原合同采购金额的百分之十；论证属于本通知第（四）种情形的政府采购项目，须附相关政策依据。）</w:t>
            </w:r>
          </w:p>
          <w:p>
            <w:pPr>
              <w:rPr>
                <w:rFonts w:ascii="宋体" w:cs="宋体"/>
                <w:szCs w:val="21"/>
              </w:rPr>
            </w:pPr>
          </w:p>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217" w:type="dxa"/>
            <w:tcBorders>
              <w:left w:val="single" w:color="auto" w:sz="12" w:space="0"/>
              <w:bottom w:val="single" w:color="auto" w:sz="12" w:space="0"/>
            </w:tcBorders>
            <w:vAlign w:val="center"/>
          </w:tcPr>
          <w:p>
            <w:pPr>
              <w:jc w:val="center"/>
              <w:rPr>
                <w:rFonts w:ascii="宋体" w:cs="宋体"/>
                <w:szCs w:val="21"/>
              </w:rPr>
            </w:pPr>
            <w:r>
              <w:rPr>
                <w:rFonts w:hint="eastAsia" w:ascii="宋体" w:hAnsi="宋体" w:cs="宋体"/>
                <w:szCs w:val="21"/>
              </w:rPr>
              <w:t>专业人员签字</w:t>
            </w:r>
          </w:p>
        </w:tc>
        <w:tc>
          <w:tcPr>
            <w:tcW w:w="3082" w:type="dxa"/>
            <w:tcBorders>
              <w:bottom w:val="single" w:color="auto" w:sz="12" w:space="0"/>
            </w:tcBorders>
            <w:vAlign w:val="center"/>
          </w:tcPr>
          <w:p>
            <w:pPr>
              <w:jc w:val="center"/>
              <w:rPr>
                <w:rFonts w:ascii="宋体" w:cs="宋体"/>
                <w:szCs w:val="21"/>
              </w:rPr>
            </w:pPr>
          </w:p>
        </w:tc>
        <w:tc>
          <w:tcPr>
            <w:tcW w:w="3830" w:type="dxa"/>
            <w:tcBorders>
              <w:bottom w:val="single" w:color="auto" w:sz="12" w:space="0"/>
              <w:right w:val="single" w:color="auto" w:sz="12" w:space="0"/>
            </w:tcBorders>
            <w:vAlign w:val="center"/>
          </w:tcPr>
          <w:p>
            <w:pPr>
              <w:ind w:firstLine="1365" w:firstLineChars="650"/>
              <w:rPr>
                <w:rFonts w:asci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tc>
      </w:tr>
    </w:tbl>
    <w:p/>
    <w:p>
      <w:pPr>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line="580" w:lineRule="exact"/>
        <w:jc w:val="center"/>
        <w:rPr>
          <w:rFonts w:ascii="方正小标宋简体" w:eastAsia="方正小标宋简体"/>
          <w:sz w:val="40"/>
          <w:szCs w:val="40"/>
        </w:rPr>
      </w:pPr>
      <w:r>
        <w:rPr>
          <w:rFonts w:hint="eastAsia" w:ascii="方正小标宋简体" w:eastAsia="方正小标宋简体"/>
          <w:sz w:val="40"/>
          <w:szCs w:val="40"/>
        </w:rPr>
        <w:t>单一来源采购方式申请审批表</w:t>
      </w:r>
    </w:p>
    <w:p>
      <w:pPr>
        <w:jc w:val="left"/>
        <w:rPr>
          <w:szCs w:val="21"/>
        </w:rPr>
      </w:pPr>
    </w:p>
    <w:p>
      <w:pPr>
        <w:ind w:firstLine="7350" w:firstLineChars="3500"/>
        <w:jc w:val="left"/>
        <w:rPr>
          <w:rFonts w:ascii="仿宋_GB2312" w:eastAsia="仿宋_GB2312"/>
          <w:szCs w:val="21"/>
        </w:rPr>
      </w:pPr>
      <w:r>
        <w:rPr>
          <w:rFonts w:hint="eastAsia"/>
          <w:szCs w:val="21"/>
        </w:rPr>
        <w:t>编号：</w:t>
      </w:r>
    </w:p>
    <w:tbl>
      <w:tblPr>
        <w:tblStyle w:val="4"/>
        <w:tblW w:w="90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552"/>
        <w:gridCol w:w="1469"/>
        <w:gridCol w:w="2191"/>
        <w:gridCol w:w="1525"/>
        <w:gridCol w:w="1022"/>
        <w:gridCol w:w="14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7" w:type="dxa"/>
            <w:gridSpan w:val="2"/>
            <w:tcBorders>
              <w:top w:val="single" w:color="auto" w:sz="12" w:space="0"/>
            </w:tcBorders>
            <w:vAlign w:val="center"/>
          </w:tcPr>
          <w:p>
            <w:pPr>
              <w:jc w:val="center"/>
              <w:rPr>
                <w:rFonts w:ascii="宋体"/>
                <w:szCs w:val="21"/>
              </w:rPr>
            </w:pPr>
            <w:r>
              <w:rPr>
                <w:rFonts w:hint="eastAsia" w:ascii="宋体" w:hAnsi="宋体"/>
                <w:szCs w:val="21"/>
              </w:rPr>
              <w:t>申请单位</w:t>
            </w:r>
          </w:p>
        </w:tc>
        <w:tc>
          <w:tcPr>
            <w:tcW w:w="3660" w:type="dxa"/>
            <w:gridSpan w:val="2"/>
            <w:tcBorders>
              <w:top w:val="single" w:color="auto" w:sz="12" w:space="0"/>
            </w:tcBorders>
            <w:vAlign w:val="center"/>
          </w:tcPr>
          <w:p>
            <w:pPr>
              <w:jc w:val="center"/>
              <w:rPr>
                <w:rFonts w:ascii="宋体"/>
                <w:szCs w:val="21"/>
              </w:rPr>
            </w:pPr>
          </w:p>
        </w:tc>
        <w:tc>
          <w:tcPr>
            <w:tcW w:w="1525" w:type="dxa"/>
            <w:tcBorders>
              <w:top w:val="single" w:color="auto" w:sz="12" w:space="0"/>
            </w:tcBorders>
            <w:vAlign w:val="center"/>
          </w:tcPr>
          <w:p>
            <w:pPr>
              <w:jc w:val="center"/>
              <w:rPr>
                <w:rFonts w:ascii="宋体"/>
                <w:szCs w:val="21"/>
              </w:rPr>
            </w:pPr>
            <w:r>
              <w:rPr>
                <w:rFonts w:hint="eastAsia" w:ascii="宋体" w:hAnsi="宋体"/>
                <w:szCs w:val="21"/>
              </w:rPr>
              <w:t>联系人</w:t>
            </w:r>
          </w:p>
        </w:tc>
        <w:tc>
          <w:tcPr>
            <w:tcW w:w="2491" w:type="dxa"/>
            <w:gridSpan w:val="2"/>
            <w:tcBorders>
              <w:top w:val="single" w:color="auto" w:sz="12" w:space="0"/>
            </w:tcBorders>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7" w:type="dxa"/>
            <w:gridSpan w:val="2"/>
            <w:vAlign w:val="center"/>
          </w:tcPr>
          <w:p>
            <w:pPr>
              <w:jc w:val="center"/>
              <w:rPr>
                <w:rFonts w:ascii="宋体"/>
                <w:szCs w:val="21"/>
              </w:rPr>
            </w:pPr>
            <w:r>
              <w:rPr>
                <w:rFonts w:hint="eastAsia" w:ascii="宋体" w:hAnsi="宋体"/>
                <w:szCs w:val="21"/>
              </w:rPr>
              <w:t>申请时间</w:t>
            </w:r>
          </w:p>
        </w:tc>
        <w:tc>
          <w:tcPr>
            <w:tcW w:w="3660" w:type="dxa"/>
            <w:gridSpan w:val="2"/>
            <w:vAlign w:val="center"/>
          </w:tcPr>
          <w:p>
            <w:pPr>
              <w:ind w:firstLine="735" w:firstLineChars="350"/>
              <w:rPr>
                <w:rFonts w:ascii="宋体"/>
                <w:szCs w:val="21"/>
              </w:rPr>
            </w:pPr>
          </w:p>
        </w:tc>
        <w:tc>
          <w:tcPr>
            <w:tcW w:w="1525" w:type="dxa"/>
            <w:vAlign w:val="center"/>
          </w:tcPr>
          <w:p>
            <w:pPr>
              <w:jc w:val="center"/>
              <w:rPr>
                <w:rFonts w:ascii="宋体"/>
                <w:szCs w:val="21"/>
              </w:rPr>
            </w:pPr>
            <w:r>
              <w:rPr>
                <w:rFonts w:hint="eastAsia" w:ascii="宋体" w:hAnsi="宋体"/>
                <w:szCs w:val="21"/>
              </w:rPr>
              <w:t>联系电话</w:t>
            </w:r>
          </w:p>
        </w:tc>
        <w:tc>
          <w:tcPr>
            <w:tcW w:w="2491" w:type="dxa"/>
            <w:gridSpan w:val="2"/>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7" w:type="dxa"/>
            <w:gridSpan w:val="2"/>
            <w:vAlign w:val="center"/>
          </w:tcPr>
          <w:p>
            <w:pPr>
              <w:jc w:val="center"/>
              <w:rPr>
                <w:rFonts w:ascii="宋体"/>
                <w:szCs w:val="21"/>
              </w:rPr>
            </w:pPr>
            <w:r>
              <w:rPr>
                <w:rFonts w:hint="eastAsia" w:ascii="宋体" w:hAnsi="宋体"/>
                <w:szCs w:val="21"/>
              </w:rPr>
              <w:t>项目编号</w:t>
            </w:r>
          </w:p>
        </w:tc>
        <w:tc>
          <w:tcPr>
            <w:tcW w:w="3660" w:type="dxa"/>
            <w:gridSpan w:val="2"/>
            <w:vAlign w:val="center"/>
          </w:tcPr>
          <w:p>
            <w:pPr>
              <w:jc w:val="center"/>
              <w:rPr>
                <w:rFonts w:ascii="宋体"/>
                <w:szCs w:val="21"/>
              </w:rPr>
            </w:pPr>
            <w:r>
              <w:rPr>
                <w:rFonts w:hint="eastAsia" w:ascii="宋体" w:hAnsi="宋体"/>
                <w:szCs w:val="21"/>
              </w:rPr>
              <w:t>采购内容或项目名称</w:t>
            </w:r>
          </w:p>
        </w:tc>
        <w:tc>
          <w:tcPr>
            <w:tcW w:w="1525" w:type="dxa"/>
            <w:vAlign w:val="center"/>
          </w:tcPr>
          <w:p>
            <w:pPr>
              <w:jc w:val="center"/>
              <w:rPr>
                <w:rFonts w:ascii="宋体"/>
                <w:szCs w:val="21"/>
              </w:rPr>
            </w:pPr>
            <w:r>
              <w:rPr>
                <w:rFonts w:hint="eastAsia" w:ascii="宋体" w:hAnsi="宋体"/>
                <w:szCs w:val="21"/>
              </w:rPr>
              <w:t>预算项目编号</w:t>
            </w:r>
          </w:p>
        </w:tc>
        <w:tc>
          <w:tcPr>
            <w:tcW w:w="1022" w:type="dxa"/>
            <w:vAlign w:val="center"/>
          </w:tcPr>
          <w:p>
            <w:pPr>
              <w:jc w:val="center"/>
              <w:rPr>
                <w:rFonts w:ascii="宋体"/>
                <w:szCs w:val="21"/>
              </w:rPr>
            </w:pPr>
            <w:r>
              <w:rPr>
                <w:rFonts w:hint="eastAsia" w:ascii="宋体" w:hAnsi="宋体"/>
                <w:szCs w:val="21"/>
              </w:rPr>
              <w:t>数量</w:t>
            </w:r>
          </w:p>
        </w:tc>
        <w:tc>
          <w:tcPr>
            <w:tcW w:w="1469" w:type="dxa"/>
            <w:vAlign w:val="center"/>
          </w:tcPr>
          <w:p>
            <w:pPr>
              <w:jc w:val="center"/>
              <w:rPr>
                <w:rFonts w:ascii="宋体"/>
                <w:szCs w:val="21"/>
              </w:rPr>
            </w:pPr>
            <w:r>
              <w:rPr>
                <w:rFonts w:hint="eastAsia" w:ascii="宋体" w:hAnsi="宋体"/>
                <w:szCs w:val="21"/>
              </w:rPr>
              <w:t>预算金额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7" w:type="dxa"/>
            <w:gridSpan w:val="2"/>
            <w:vAlign w:val="center"/>
          </w:tcPr>
          <w:p>
            <w:pPr>
              <w:jc w:val="center"/>
              <w:rPr>
                <w:rFonts w:ascii="宋体"/>
                <w:szCs w:val="21"/>
              </w:rPr>
            </w:pPr>
          </w:p>
        </w:tc>
        <w:tc>
          <w:tcPr>
            <w:tcW w:w="3660" w:type="dxa"/>
            <w:gridSpan w:val="2"/>
            <w:vAlign w:val="center"/>
          </w:tcPr>
          <w:p>
            <w:pPr>
              <w:jc w:val="center"/>
              <w:rPr>
                <w:rFonts w:ascii="宋体"/>
                <w:szCs w:val="21"/>
              </w:rPr>
            </w:pPr>
          </w:p>
        </w:tc>
        <w:tc>
          <w:tcPr>
            <w:tcW w:w="1525" w:type="dxa"/>
            <w:vAlign w:val="center"/>
          </w:tcPr>
          <w:p>
            <w:pPr>
              <w:jc w:val="center"/>
              <w:rPr>
                <w:rFonts w:ascii="宋体"/>
                <w:szCs w:val="21"/>
              </w:rPr>
            </w:pPr>
          </w:p>
        </w:tc>
        <w:tc>
          <w:tcPr>
            <w:tcW w:w="1022" w:type="dxa"/>
            <w:vAlign w:val="center"/>
          </w:tcPr>
          <w:p>
            <w:pPr>
              <w:jc w:val="center"/>
              <w:rPr>
                <w:rFonts w:ascii="宋体"/>
                <w:szCs w:val="21"/>
              </w:rPr>
            </w:pPr>
          </w:p>
        </w:tc>
        <w:tc>
          <w:tcPr>
            <w:tcW w:w="1469"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866" w:type="dxa"/>
            <w:gridSpan w:val="3"/>
            <w:vAlign w:val="center"/>
          </w:tcPr>
          <w:p>
            <w:pPr>
              <w:jc w:val="center"/>
              <w:rPr>
                <w:rFonts w:ascii="宋体"/>
                <w:szCs w:val="21"/>
              </w:rPr>
            </w:pPr>
            <w:r>
              <w:rPr>
                <w:rFonts w:hint="eastAsia" w:ascii="宋体" w:hAnsi="宋体"/>
                <w:szCs w:val="21"/>
              </w:rPr>
              <w:t>采用采购方式</w:t>
            </w:r>
          </w:p>
        </w:tc>
        <w:tc>
          <w:tcPr>
            <w:tcW w:w="6207" w:type="dxa"/>
            <w:gridSpan w:val="4"/>
            <w:vAlign w:val="center"/>
          </w:tcPr>
          <w:p>
            <w:pPr>
              <w:jc w:val="center"/>
              <w:rPr>
                <w:rFonts w:ascii="宋体"/>
                <w:szCs w:val="21"/>
              </w:rPr>
            </w:pPr>
            <w:r>
              <w:rPr>
                <w:rFonts w:hint="eastAsia" w:ascii="宋体" w:hAnsi="宋体"/>
                <w:szCs w:val="21"/>
              </w:rPr>
              <w:t>单一来源采购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45" w:type="dxa"/>
            <w:vAlign w:val="center"/>
          </w:tcPr>
          <w:p>
            <w:pPr>
              <w:jc w:val="center"/>
              <w:rPr>
                <w:rFonts w:ascii="宋体"/>
                <w:szCs w:val="21"/>
              </w:rPr>
            </w:pPr>
            <w:r>
              <w:rPr>
                <w:rFonts w:hint="eastAsia" w:ascii="宋体" w:hAnsi="宋体"/>
                <w:szCs w:val="21"/>
              </w:rPr>
              <w:t>申请</w:t>
            </w:r>
          </w:p>
          <w:p>
            <w:pPr>
              <w:jc w:val="center"/>
              <w:rPr>
                <w:rFonts w:ascii="宋体"/>
                <w:szCs w:val="21"/>
              </w:rPr>
            </w:pPr>
            <w:r>
              <w:rPr>
                <w:rFonts w:hint="eastAsia" w:ascii="宋体" w:hAnsi="宋体"/>
                <w:szCs w:val="21"/>
              </w:rPr>
              <w:t>理由</w:t>
            </w:r>
          </w:p>
        </w:tc>
        <w:tc>
          <w:tcPr>
            <w:tcW w:w="8228" w:type="dxa"/>
            <w:gridSpan w:val="6"/>
            <w:vAlign w:val="center"/>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845" w:type="dxa"/>
            <w:vAlign w:val="center"/>
          </w:tcPr>
          <w:p>
            <w:pPr>
              <w:jc w:val="center"/>
              <w:rPr>
                <w:rFonts w:ascii="宋体"/>
                <w:szCs w:val="21"/>
              </w:rPr>
            </w:pPr>
            <w:r>
              <w:rPr>
                <w:rFonts w:hint="eastAsia" w:ascii="宋体" w:hAnsi="宋体"/>
                <w:szCs w:val="21"/>
              </w:rPr>
              <w:t>申请</w:t>
            </w:r>
          </w:p>
          <w:p>
            <w:pPr>
              <w:jc w:val="center"/>
              <w:rPr>
                <w:rFonts w:ascii="宋体"/>
                <w:szCs w:val="21"/>
              </w:rPr>
            </w:pPr>
            <w:r>
              <w:rPr>
                <w:rFonts w:hint="eastAsia" w:ascii="宋体" w:hAnsi="宋体"/>
                <w:szCs w:val="21"/>
              </w:rPr>
              <w:t>依据</w:t>
            </w:r>
          </w:p>
        </w:tc>
        <w:tc>
          <w:tcPr>
            <w:tcW w:w="8228" w:type="dxa"/>
            <w:gridSpan w:val="6"/>
          </w:tcPr>
          <w:p>
            <w:pPr>
              <w:rPr>
                <w:rFonts w:ascii="宋体"/>
                <w:b/>
                <w:bCs/>
                <w:szCs w:val="21"/>
              </w:rPr>
            </w:pPr>
            <w:r>
              <w:rPr>
                <w:rFonts w:ascii="宋体" w:hAnsi="宋体"/>
                <w:b/>
                <w:bCs/>
                <w:szCs w:val="21"/>
              </w:rPr>
              <w:t>1.</w:t>
            </w:r>
            <w:r>
              <w:rPr>
                <w:rFonts w:hint="eastAsia" w:ascii="宋体" w:hAnsi="宋体"/>
                <w:b/>
                <w:bCs/>
                <w:szCs w:val="21"/>
              </w:rPr>
              <w:t>《中华人民共和国政府采购法》第三十一条规定可采用单一来源方式采购情形：</w:t>
            </w:r>
          </w:p>
          <w:p>
            <w:pPr>
              <w:rPr>
                <w:rFonts w:ascii="宋体"/>
                <w:szCs w:val="21"/>
              </w:rPr>
            </w:pPr>
            <w:r>
              <w:rPr>
                <w:rFonts w:hint="eastAsia" w:ascii="宋体" w:hAnsi="Wingdings 2"/>
                <w:szCs w:val="20"/>
              </w:rPr>
              <w:sym w:font="Wingdings 2" w:char="F0A3"/>
            </w:r>
            <w:r>
              <w:rPr>
                <w:rFonts w:ascii="宋体" w:hAnsi="宋体"/>
                <w:szCs w:val="21"/>
              </w:rPr>
              <w:t xml:space="preserve"> </w:t>
            </w:r>
            <w:r>
              <w:rPr>
                <w:rFonts w:hint="eastAsia" w:ascii="宋体" w:hAnsi="宋体"/>
                <w:szCs w:val="21"/>
              </w:rPr>
              <w:t>只能唯一供应商处采购的；（是指因货物或者服务使用不可替代的专利、专有技术，或者公共服务项目具有特殊要求，导致只能从某一特定供应商处采购。</w:t>
            </w:r>
            <w:r>
              <w:rPr>
                <w:rFonts w:ascii="宋体" w:hAnsi="宋体"/>
                <w:szCs w:val="21"/>
              </w:rPr>
              <w:t>——</w:t>
            </w:r>
            <w:r>
              <w:rPr>
                <w:rFonts w:hint="eastAsia" w:ascii="宋体" w:hAnsi="宋体"/>
                <w:szCs w:val="21"/>
              </w:rPr>
              <w:t>《中华人民共和国政府采购法实施条例》第二十七条规定）</w:t>
            </w:r>
          </w:p>
          <w:p>
            <w:pPr>
              <w:rPr>
                <w:rFonts w:ascii="宋体"/>
                <w:szCs w:val="21"/>
              </w:rPr>
            </w:pPr>
            <w:r>
              <w:rPr>
                <w:rFonts w:hint="eastAsia" w:ascii="宋体" w:hAnsi="Wingdings 2"/>
                <w:szCs w:val="20"/>
              </w:rPr>
              <w:sym w:font="Wingdings 2" w:char="F0A3"/>
            </w:r>
            <w:r>
              <w:rPr>
                <w:rFonts w:ascii="宋体" w:hAnsi="宋体"/>
                <w:szCs w:val="21"/>
              </w:rPr>
              <w:t xml:space="preserve"> </w:t>
            </w:r>
            <w:r>
              <w:rPr>
                <w:rFonts w:hint="eastAsia" w:ascii="宋体" w:hAnsi="宋体"/>
                <w:szCs w:val="21"/>
              </w:rPr>
              <w:t>发生了不可预见的紧急情况不能从其他供应商处采购的；</w:t>
            </w:r>
          </w:p>
          <w:p>
            <w:pPr>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必须保证原有采购项目一致性或者服务配套的要求，需要继续从原供应商</w:t>
            </w:r>
          </w:p>
          <w:p>
            <w:pPr>
              <w:rPr>
                <w:rFonts w:ascii="宋体"/>
                <w:szCs w:val="21"/>
              </w:rPr>
            </w:pPr>
            <w:r>
              <w:rPr>
                <w:rFonts w:hint="eastAsia" w:ascii="宋体" w:hAnsi="宋体"/>
                <w:szCs w:val="21"/>
              </w:rPr>
              <w:t>处添购，且添购资金总额不超过原合同采购金额百分之十的。</w:t>
            </w:r>
          </w:p>
          <w:p>
            <w:pPr>
              <w:rPr>
                <w:rFonts w:ascii="宋体"/>
                <w:b/>
                <w:bCs/>
                <w:szCs w:val="21"/>
              </w:rPr>
            </w:pPr>
            <w:r>
              <w:rPr>
                <w:rFonts w:ascii="宋体" w:hAnsi="宋体"/>
                <w:b/>
                <w:bCs/>
                <w:szCs w:val="21"/>
              </w:rPr>
              <w:t>2.</w:t>
            </w:r>
            <w:r>
              <w:rPr>
                <w:rFonts w:hint="eastAsia" w:ascii="宋体" w:hAnsi="宋体"/>
                <w:b/>
                <w:bCs/>
                <w:szCs w:val="21"/>
              </w:rPr>
              <w:t>《浙江省财政厅关于进一步规范政府购买服务采购管理的通知》（浙财采监〔</w:t>
            </w:r>
            <w:r>
              <w:rPr>
                <w:rFonts w:ascii="宋体" w:hAnsi="宋体"/>
                <w:b/>
                <w:bCs/>
                <w:szCs w:val="21"/>
              </w:rPr>
              <w:t>2021</w:t>
            </w:r>
            <w:r>
              <w:rPr>
                <w:rFonts w:hint="eastAsia" w:ascii="宋体" w:hAnsi="宋体"/>
                <w:b/>
                <w:bCs/>
                <w:szCs w:val="21"/>
              </w:rPr>
              <w:t>〕</w:t>
            </w:r>
            <w:r>
              <w:rPr>
                <w:rFonts w:ascii="宋体" w:hAnsi="宋体"/>
                <w:b/>
                <w:bCs/>
                <w:szCs w:val="21"/>
              </w:rPr>
              <w:t>2</w:t>
            </w:r>
            <w:r>
              <w:rPr>
                <w:rFonts w:hint="eastAsia" w:ascii="宋体" w:hAnsi="宋体"/>
                <w:b/>
                <w:bCs/>
                <w:szCs w:val="21"/>
              </w:rPr>
              <w:t>号）第四条规定可采用单一来源采购方式的公共服务项目适用情形：</w:t>
            </w:r>
          </w:p>
          <w:p>
            <w:pPr>
              <w:rPr>
                <w:rFonts w:ascii="宋体"/>
                <w:szCs w:val="21"/>
              </w:rPr>
            </w:pPr>
            <w:r>
              <w:rPr>
                <w:rFonts w:hint="eastAsia" w:ascii="宋体" w:hAnsi="Wingdings 2"/>
                <w:szCs w:val="20"/>
              </w:rPr>
              <w:sym w:font="Wingdings 2" w:char="F0A3"/>
            </w:r>
            <w:r>
              <w:rPr>
                <w:rFonts w:ascii="宋体" w:hAnsi="宋体"/>
                <w:szCs w:val="21"/>
              </w:rPr>
              <w:t xml:space="preserve"> </w:t>
            </w:r>
            <w:r>
              <w:rPr>
                <w:rFonts w:hint="eastAsia" w:ascii="宋体" w:hAnsi="宋体"/>
                <w:szCs w:val="21"/>
              </w:rPr>
              <w:t>在现有的经济和技术条件下，更换承接主体将无法保证与原有项目的一致性或者服务配套要求，且导致服务成本大幅度增加或者原有投资损失；</w:t>
            </w:r>
          </w:p>
          <w:p>
            <w:pPr>
              <w:rPr>
                <w:rFonts w:ascii="宋体"/>
                <w:szCs w:val="21"/>
              </w:rPr>
            </w:pPr>
            <w:r>
              <w:rPr>
                <w:rFonts w:hint="eastAsia" w:ascii="宋体" w:hAnsi="Wingdings 2"/>
                <w:szCs w:val="20"/>
              </w:rPr>
              <w:sym w:font="Wingdings 2" w:char="F0A3"/>
            </w:r>
            <w:r>
              <w:rPr>
                <w:rFonts w:ascii="宋体" w:hAnsi="宋体"/>
                <w:szCs w:val="21"/>
              </w:rPr>
              <w:t xml:space="preserve"> </w:t>
            </w:r>
            <w:r>
              <w:rPr>
                <w:rFonts w:hint="eastAsia" w:ascii="宋体" w:hAnsi="宋体"/>
                <w:szCs w:val="21"/>
              </w:rPr>
              <w:t>省级以上（含省级）购买主体最近</w:t>
            </w:r>
            <w:r>
              <w:rPr>
                <w:rFonts w:ascii="宋体" w:hAnsi="宋体"/>
                <w:szCs w:val="21"/>
              </w:rPr>
              <w:t>1</w:t>
            </w:r>
            <w:r>
              <w:rPr>
                <w:rFonts w:hint="eastAsia" w:ascii="宋体" w:hAnsi="宋体"/>
                <w:szCs w:val="21"/>
              </w:rPr>
              <w:t>年内通过公开竞争方式产生的同类项目的政府采购结果，本系统下级购买主体确实需要直接采用；</w:t>
            </w:r>
          </w:p>
          <w:p>
            <w:pPr>
              <w:rPr>
                <w:rFonts w:ascii="宋体"/>
                <w:szCs w:val="21"/>
              </w:rPr>
            </w:pPr>
            <w:r>
              <w:rPr>
                <w:rFonts w:hint="eastAsia" w:ascii="宋体" w:hAnsi="Wingdings 2"/>
                <w:szCs w:val="20"/>
              </w:rPr>
              <w:sym w:font="Wingdings 2" w:char="F0A3"/>
            </w:r>
            <w:r>
              <w:rPr>
                <w:rFonts w:ascii="宋体" w:hAnsi="宋体"/>
                <w:szCs w:val="21"/>
              </w:rPr>
              <w:t xml:space="preserve"> </w:t>
            </w:r>
            <w:r>
              <w:rPr>
                <w:rFonts w:hint="eastAsia" w:ascii="宋体" w:hAnsi="宋体"/>
                <w:szCs w:val="21"/>
              </w:rPr>
              <w:t>其他属于《政府采购法实施条例》第二十七条规定的具有特殊要求导致只能从某一特定承接主体处采购的公共服务项目。</w:t>
            </w:r>
          </w:p>
          <w:p>
            <w:pPr>
              <w:rPr>
                <w:rFonts w:ascii="宋体"/>
                <w:szCs w:val="21"/>
              </w:rPr>
            </w:pPr>
          </w:p>
          <w:p>
            <w:pPr>
              <w:ind w:firstLine="2100" w:firstLineChars="1000"/>
              <w:rPr>
                <w:rFonts w:ascii="宋体"/>
                <w:szCs w:val="21"/>
              </w:rPr>
            </w:pPr>
            <w:r>
              <w:rPr>
                <w:rFonts w:hint="eastAsia" w:ascii="宋体" w:hAnsi="宋体"/>
                <w:szCs w:val="21"/>
              </w:rPr>
              <w:t>项目负责人：</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45" w:type="dxa"/>
            <w:vAlign w:val="center"/>
          </w:tcPr>
          <w:p>
            <w:pPr>
              <w:jc w:val="center"/>
              <w:rPr>
                <w:rFonts w:ascii="宋体"/>
                <w:szCs w:val="21"/>
              </w:rPr>
            </w:pPr>
            <w:r>
              <w:rPr>
                <w:rFonts w:hint="eastAsia" w:ascii="宋体" w:hAnsi="宋体"/>
                <w:szCs w:val="21"/>
              </w:rPr>
              <w:t>申请</w:t>
            </w:r>
          </w:p>
          <w:p>
            <w:pPr>
              <w:jc w:val="center"/>
              <w:rPr>
                <w:rFonts w:ascii="宋体"/>
                <w:szCs w:val="21"/>
              </w:rPr>
            </w:pPr>
            <w:r>
              <w:rPr>
                <w:rFonts w:hint="eastAsia" w:ascii="宋体" w:hAnsi="宋体"/>
                <w:szCs w:val="21"/>
              </w:rPr>
              <w:t>单位</w:t>
            </w:r>
          </w:p>
          <w:p>
            <w:pPr>
              <w:jc w:val="center"/>
              <w:rPr>
                <w:rFonts w:ascii="宋体"/>
                <w:szCs w:val="21"/>
              </w:rPr>
            </w:pPr>
            <w:r>
              <w:rPr>
                <w:rFonts w:hint="eastAsia" w:ascii="宋体" w:hAnsi="宋体"/>
                <w:szCs w:val="21"/>
              </w:rPr>
              <w:t>意见</w:t>
            </w:r>
          </w:p>
        </w:tc>
        <w:tc>
          <w:tcPr>
            <w:tcW w:w="8228" w:type="dxa"/>
            <w:gridSpan w:val="6"/>
          </w:tcPr>
          <w:p>
            <w:pPr>
              <w:rPr>
                <w:rFonts w:ascii="宋体"/>
                <w:szCs w:val="21"/>
              </w:rPr>
            </w:pPr>
          </w:p>
          <w:p>
            <w:pPr>
              <w:rPr>
                <w:rFonts w:ascii="宋体"/>
                <w:szCs w:val="21"/>
              </w:rPr>
            </w:pPr>
          </w:p>
          <w:p>
            <w:pPr>
              <w:ind w:right="420"/>
              <w:jc w:val="center"/>
              <w:rPr>
                <w:rFonts w:ascii="宋体"/>
                <w:szCs w:val="21"/>
              </w:rPr>
            </w:pPr>
            <w:r>
              <w:rPr>
                <w:rFonts w:ascii="宋体" w:hAnsi="宋体"/>
                <w:szCs w:val="21"/>
              </w:rPr>
              <w:t xml:space="preserve">                                </w:t>
            </w:r>
            <w:r>
              <w:rPr>
                <w:rFonts w:hint="eastAsia" w:ascii="宋体" w:hAnsi="宋体"/>
                <w:szCs w:val="21"/>
              </w:rPr>
              <w:t>（盖章）</w:t>
            </w:r>
          </w:p>
          <w:p>
            <w:pPr>
              <w:ind w:firstLine="1995" w:firstLineChars="950"/>
              <w:rPr>
                <w:rFonts w:ascii="宋体"/>
                <w:szCs w:val="21"/>
              </w:rPr>
            </w:pPr>
            <w:r>
              <w:rPr>
                <w:rFonts w:hint="eastAsia" w:ascii="宋体" w:hAnsi="宋体"/>
                <w:szCs w:val="21"/>
              </w:rPr>
              <w:t>单位负责人：</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45" w:type="dxa"/>
            <w:tcBorders>
              <w:bottom w:val="single" w:color="auto" w:sz="12" w:space="0"/>
            </w:tcBorders>
            <w:vAlign w:val="center"/>
          </w:tcPr>
          <w:p>
            <w:pPr>
              <w:jc w:val="center"/>
              <w:rPr>
                <w:rFonts w:ascii="宋体"/>
                <w:szCs w:val="21"/>
              </w:rPr>
            </w:pPr>
            <w:r>
              <w:rPr>
                <w:rFonts w:hint="eastAsia" w:ascii="宋体" w:hAnsi="宋体"/>
                <w:szCs w:val="21"/>
              </w:rPr>
              <w:t>主管</w:t>
            </w:r>
          </w:p>
          <w:p>
            <w:pPr>
              <w:jc w:val="center"/>
              <w:rPr>
                <w:rFonts w:ascii="宋体"/>
                <w:szCs w:val="21"/>
              </w:rPr>
            </w:pPr>
            <w:r>
              <w:rPr>
                <w:rFonts w:hint="eastAsia" w:ascii="宋体" w:hAnsi="宋体"/>
                <w:szCs w:val="21"/>
              </w:rPr>
              <w:t>部门</w:t>
            </w:r>
          </w:p>
          <w:p>
            <w:pPr>
              <w:jc w:val="center"/>
              <w:rPr>
                <w:rFonts w:ascii="宋体"/>
                <w:szCs w:val="21"/>
              </w:rPr>
            </w:pPr>
            <w:r>
              <w:rPr>
                <w:rFonts w:hint="eastAsia" w:ascii="宋体" w:hAnsi="宋体"/>
                <w:szCs w:val="21"/>
              </w:rPr>
              <w:t>审核</w:t>
            </w:r>
          </w:p>
          <w:p>
            <w:pPr>
              <w:jc w:val="center"/>
              <w:rPr>
                <w:rFonts w:ascii="宋体"/>
                <w:szCs w:val="21"/>
              </w:rPr>
            </w:pPr>
            <w:r>
              <w:rPr>
                <w:rFonts w:hint="eastAsia" w:ascii="宋体" w:hAnsi="宋体"/>
                <w:szCs w:val="21"/>
              </w:rPr>
              <w:t>意见</w:t>
            </w:r>
          </w:p>
        </w:tc>
        <w:tc>
          <w:tcPr>
            <w:tcW w:w="8228" w:type="dxa"/>
            <w:gridSpan w:val="6"/>
            <w:tcBorders>
              <w:bottom w:val="single" w:color="auto" w:sz="12" w:space="0"/>
            </w:tcBorders>
          </w:tcPr>
          <w:p>
            <w:pPr>
              <w:rPr>
                <w:rFonts w:ascii="宋体"/>
                <w:szCs w:val="21"/>
              </w:rPr>
            </w:pPr>
          </w:p>
          <w:p>
            <w:pPr>
              <w:rPr>
                <w:rFonts w:ascii="宋体"/>
                <w:szCs w:val="21"/>
              </w:rPr>
            </w:pPr>
          </w:p>
          <w:p>
            <w:pPr>
              <w:ind w:right="420"/>
              <w:jc w:val="center"/>
              <w:rPr>
                <w:rFonts w:ascii="宋体"/>
                <w:szCs w:val="21"/>
              </w:rPr>
            </w:pPr>
            <w:r>
              <w:rPr>
                <w:rFonts w:ascii="宋体" w:hAnsi="宋体"/>
                <w:szCs w:val="21"/>
              </w:rPr>
              <w:t xml:space="preserve">                                </w:t>
            </w:r>
            <w:r>
              <w:rPr>
                <w:rFonts w:hint="eastAsia" w:ascii="宋体" w:hAnsi="宋体"/>
                <w:szCs w:val="21"/>
              </w:rPr>
              <w:t>（盖章）</w:t>
            </w:r>
          </w:p>
          <w:p>
            <w:pPr>
              <w:rPr>
                <w:rFonts w:ascii="宋体"/>
                <w:szCs w:val="21"/>
              </w:rPr>
            </w:pPr>
            <w:r>
              <w:rPr>
                <w:rFonts w:hint="eastAsia" w:ascii="宋体" w:hAnsi="宋体"/>
                <w:szCs w:val="21"/>
              </w:rPr>
              <w:t>　　</w:t>
            </w:r>
            <w:r>
              <w:rPr>
                <w:rFonts w:ascii="宋体" w:hAnsi="宋体"/>
                <w:szCs w:val="21"/>
              </w:rPr>
              <w:t xml:space="preserve">               </w:t>
            </w:r>
            <w:r>
              <w:rPr>
                <w:rFonts w:hint="eastAsia" w:ascii="宋体" w:hAnsi="宋体"/>
                <w:szCs w:val="21"/>
              </w:rPr>
              <w:t>单位负责人：</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line="220" w:lineRule="atLeast"/>
        <w:jc w:val="center"/>
        <w:rPr>
          <w:rFonts w:ascii="方正小标宋简体" w:eastAsia="方正小标宋简体"/>
          <w:sz w:val="40"/>
          <w:szCs w:val="40"/>
        </w:rPr>
      </w:pPr>
      <w:r>
        <w:rPr>
          <w:rFonts w:hint="eastAsia" w:ascii="方正小标宋简体" w:eastAsia="方正小标宋简体"/>
          <w:sz w:val="40"/>
          <w:szCs w:val="40"/>
        </w:rPr>
        <w:t>公开招标数额以上县政府单一来源审批表</w:t>
      </w:r>
    </w:p>
    <w:p/>
    <w:tbl>
      <w:tblPr>
        <w:tblStyle w:val="4"/>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4123"/>
        <w:gridCol w:w="1560"/>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21" w:type="dxa"/>
            <w:vAlign w:val="center"/>
          </w:tcPr>
          <w:p>
            <w:pPr>
              <w:spacing w:line="300" w:lineRule="exact"/>
              <w:jc w:val="center"/>
              <w:rPr>
                <w:sz w:val="24"/>
              </w:rPr>
            </w:pPr>
            <w:r>
              <w:rPr>
                <w:rFonts w:hint="eastAsia"/>
                <w:sz w:val="24"/>
              </w:rPr>
              <w:t>申请单位</w:t>
            </w:r>
          </w:p>
          <w:p>
            <w:pPr>
              <w:spacing w:line="300" w:lineRule="exact"/>
              <w:jc w:val="center"/>
              <w:rPr>
                <w:sz w:val="24"/>
              </w:rPr>
            </w:pPr>
            <w:r>
              <w:rPr>
                <w:rFonts w:hint="eastAsia"/>
                <w:sz w:val="24"/>
              </w:rPr>
              <w:t>（采购人）</w:t>
            </w:r>
          </w:p>
        </w:tc>
        <w:tc>
          <w:tcPr>
            <w:tcW w:w="4123" w:type="dxa"/>
            <w:vAlign w:val="center"/>
          </w:tcPr>
          <w:p>
            <w:pPr>
              <w:jc w:val="center"/>
              <w:rPr>
                <w:sz w:val="24"/>
              </w:rPr>
            </w:pPr>
          </w:p>
        </w:tc>
        <w:tc>
          <w:tcPr>
            <w:tcW w:w="1560" w:type="dxa"/>
            <w:vAlign w:val="center"/>
          </w:tcPr>
          <w:p>
            <w:pPr>
              <w:spacing w:line="300" w:lineRule="exact"/>
              <w:jc w:val="center"/>
              <w:rPr>
                <w:sz w:val="24"/>
              </w:rPr>
            </w:pPr>
            <w:r>
              <w:rPr>
                <w:rFonts w:hint="eastAsia"/>
                <w:sz w:val="24"/>
              </w:rPr>
              <w:t>联系人</w:t>
            </w:r>
          </w:p>
        </w:tc>
        <w:tc>
          <w:tcPr>
            <w:tcW w:w="215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21" w:type="dxa"/>
            <w:vAlign w:val="center"/>
          </w:tcPr>
          <w:p>
            <w:pPr>
              <w:spacing w:line="300" w:lineRule="exact"/>
              <w:jc w:val="center"/>
              <w:rPr>
                <w:sz w:val="24"/>
              </w:rPr>
            </w:pPr>
            <w:r>
              <w:rPr>
                <w:rFonts w:hint="eastAsia"/>
                <w:sz w:val="24"/>
              </w:rPr>
              <w:t>采购内容或项目名称</w:t>
            </w:r>
          </w:p>
        </w:tc>
        <w:tc>
          <w:tcPr>
            <w:tcW w:w="4123" w:type="dxa"/>
            <w:vAlign w:val="center"/>
          </w:tcPr>
          <w:p>
            <w:pPr>
              <w:jc w:val="center"/>
              <w:rPr>
                <w:sz w:val="24"/>
              </w:rPr>
            </w:pPr>
          </w:p>
        </w:tc>
        <w:tc>
          <w:tcPr>
            <w:tcW w:w="1560" w:type="dxa"/>
            <w:vAlign w:val="center"/>
          </w:tcPr>
          <w:p>
            <w:pPr>
              <w:spacing w:line="300" w:lineRule="exact"/>
              <w:jc w:val="center"/>
              <w:rPr>
                <w:sz w:val="24"/>
              </w:rPr>
            </w:pPr>
            <w:r>
              <w:rPr>
                <w:rFonts w:hint="eastAsia"/>
                <w:sz w:val="24"/>
              </w:rPr>
              <w:t>联系电话</w:t>
            </w:r>
          </w:p>
        </w:tc>
        <w:tc>
          <w:tcPr>
            <w:tcW w:w="2157"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21" w:type="dxa"/>
            <w:vAlign w:val="center"/>
          </w:tcPr>
          <w:p>
            <w:pPr>
              <w:spacing w:line="300" w:lineRule="exact"/>
              <w:jc w:val="center"/>
              <w:rPr>
                <w:sz w:val="24"/>
              </w:rPr>
            </w:pPr>
            <w:r>
              <w:rPr>
                <w:rFonts w:hint="eastAsia"/>
                <w:sz w:val="24"/>
              </w:rPr>
              <w:t>数量</w:t>
            </w:r>
          </w:p>
        </w:tc>
        <w:tc>
          <w:tcPr>
            <w:tcW w:w="4123" w:type="dxa"/>
            <w:vAlign w:val="center"/>
          </w:tcPr>
          <w:p>
            <w:pPr>
              <w:spacing w:line="300" w:lineRule="exact"/>
              <w:jc w:val="center"/>
              <w:rPr>
                <w:sz w:val="24"/>
              </w:rPr>
            </w:pPr>
          </w:p>
        </w:tc>
        <w:tc>
          <w:tcPr>
            <w:tcW w:w="1560" w:type="dxa"/>
            <w:vAlign w:val="center"/>
          </w:tcPr>
          <w:p>
            <w:pPr>
              <w:spacing w:line="300" w:lineRule="exact"/>
              <w:jc w:val="center"/>
              <w:rPr>
                <w:sz w:val="24"/>
              </w:rPr>
            </w:pPr>
            <w:r>
              <w:rPr>
                <w:rFonts w:hint="eastAsia"/>
                <w:sz w:val="24"/>
              </w:rPr>
              <w:t>预算金额</w:t>
            </w:r>
          </w:p>
        </w:tc>
        <w:tc>
          <w:tcPr>
            <w:tcW w:w="2157" w:type="dxa"/>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21" w:type="dxa"/>
            <w:vAlign w:val="center"/>
          </w:tcPr>
          <w:p>
            <w:pPr>
              <w:spacing w:line="300" w:lineRule="exact"/>
              <w:jc w:val="center"/>
              <w:rPr>
                <w:sz w:val="24"/>
              </w:rPr>
            </w:pPr>
            <w:r>
              <w:rPr>
                <w:rFonts w:hint="eastAsia"/>
                <w:sz w:val="24"/>
              </w:rPr>
              <w:t>是否经县政府批准</w:t>
            </w:r>
          </w:p>
        </w:tc>
        <w:tc>
          <w:tcPr>
            <w:tcW w:w="4123" w:type="dxa"/>
            <w:vAlign w:val="center"/>
          </w:tcPr>
          <w:p>
            <w:pPr>
              <w:spacing w:line="300" w:lineRule="exact"/>
              <w:jc w:val="center"/>
              <w:rPr>
                <w:sz w:val="24"/>
              </w:rPr>
            </w:pPr>
          </w:p>
        </w:tc>
        <w:tc>
          <w:tcPr>
            <w:tcW w:w="1560" w:type="dxa"/>
            <w:vAlign w:val="center"/>
          </w:tcPr>
          <w:p>
            <w:pPr>
              <w:spacing w:line="300" w:lineRule="exact"/>
              <w:jc w:val="center"/>
              <w:rPr>
                <w:sz w:val="24"/>
              </w:rPr>
            </w:pPr>
            <w:r>
              <w:rPr>
                <w:rFonts w:hint="eastAsia"/>
                <w:sz w:val="24"/>
              </w:rPr>
              <w:t>是否经过</w:t>
            </w:r>
          </w:p>
          <w:p>
            <w:pPr>
              <w:spacing w:line="300" w:lineRule="exact"/>
              <w:jc w:val="center"/>
              <w:rPr>
                <w:sz w:val="24"/>
              </w:rPr>
            </w:pPr>
            <w:r>
              <w:rPr>
                <w:rFonts w:hint="eastAsia"/>
                <w:sz w:val="24"/>
              </w:rPr>
              <w:t>专家论证</w:t>
            </w:r>
          </w:p>
        </w:tc>
        <w:tc>
          <w:tcPr>
            <w:tcW w:w="2157" w:type="dxa"/>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1521" w:type="dxa"/>
            <w:vAlign w:val="center"/>
          </w:tcPr>
          <w:p>
            <w:pPr>
              <w:spacing w:line="300" w:lineRule="exact"/>
              <w:jc w:val="center"/>
              <w:rPr>
                <w:sz w:val="24"/>
              </w:rPr>
            </w:pPr>
            <w:r>
              <w:rPr>
                <w:rFonts w:hint="eastAsia"/>
                <w:sz w:val="24"/>
              </w:rPr>
              <w:t>拟采购的货物或者服务的说明（包括单一来源采购对象全称、地址）</w:t>
            </w:r>
          </w:p>
        </w:tc>
        <w:tc>
          <w:tcPr>
            <w:tcW w:w="7840" w:type="dxa"/>
            <w:gridSpan w:val="3"/>
          </w:tcPr>
          <w:p>
            <w:pPr>
              <w:ind w:firstLine="472" w:firstLineChars="196"/>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521" w:type="dxa"/>
            <w:vAlign w:val="center"/>
          </w:tcPr>
          <w:p>
            <w:pPr>
              <w:spacing w:line="300" w:lineRule="exact"/>
              <w:jc w:val="center"/>
              <w:rPr>
                <w:sz w:val="24"/>
              </w:rPr>
            </w:pPr>
            <w:r>
              <w:rPr>
                <w:rFonts w:hint="eastAsia"/>
                <w:sz w:val="24"/>
              </w:rPr>
              <w:t>采用单一来源采购方式的原因、相关说明和法律依据等</w:t>
            </w:r>
          </w:p>
        </w:tc>
        <w:tc>
          <w:tcPr>
            <w:tcW w:w="784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21" w:type="dxa"/>
            <w:vAlign w:val="center"/>
          </w:tcPr>
          <w:p>
            <w:pPr>
              <w:spacing w:line="300" w:lineRule="exact"/>
              <w:jc w:val="center"/>
              <w:rPr>
                <w:sz w:val="24"/>
              </w:rPr>
            </w:pPr>
            <w:r>
              <w:rPr>
                <w:rFonts w:hint="eastAsia"/>
                <w:sz w:val="24"/>
              </w:rPr>
              <w:t>采用单一来源采购公示时间</w:t>
            </w:r>
          </w:p>
        </w:tc>
        <w:tc>
          <w:tcPr>
            <w:tcW w:w="7840" w:type="dxa"/>
            <w:gridSpan w:val="3"/>
            <w:vAlign w:val="center"/>
          </w:tcPr>
          <w:p>
            <w:pPr>
              <w:ind w:firstLine="480" w:firstLineChars="200"/>
              <w:rPr>
                <w:sz w:val="24"/>
              </w:rPr>
            </w:pPr>
            <w:r>
              <w:rPr>
                <w:rFonts w:hint="eastAsia"/>
                <w:sz w:val="24"/>
              </w:rPr>
              <w:t>由</w:t>
            </w:r>
            <w:r>
              <w:rPr>
                <w:sz w:val="24"/>
              </w:rPr>
              <w:t xml:space="preserve">                           </w:t>
            </w:r>
            <w:r>
              <w:rPr>
                <w:rFonts w:hint="eastAsia"/>
                <w:sz w:val="24"/>
              </w:rPr>
              <w:t>公司（代理机构）于</w:t>
            </w:r>
            <w:r>
              <w:rPr>
                <w:sz w:val="24"/>
              </w:rPr>
              <w:t xml:space="preserve">     </w:t>
            </w:r>
            <w:r>
              <w:rPr>
                <w:rFonts w:hint="eastAsia"/>
                <w:sz w:val="24"/>
              </w:rPr>
              <w:t>年</w:t>
            </w:r>
            <w:r>
              <w:rPr>
                <w:sz w:val="24"/>
              </w:rPr>
              <w:t xml:space="preserve">   </w:t>
            </w:r>
            <w:r>
              <w:rPr>
                <w:rFonts w:hint="eastAsia"/>
                <w:sz w:val="24"/>
              </w:rPr>
              <w:t>月</w:t>
            </w:r>
          </w:p>
          <w:p>
            <w:pPr>
              <w:ind w:firstLine="240" w:firstLineChars="100"/>
              <w:rPr>
                <w:sz w:val="24"/>
              </w:rPr>
            </w:pPr>
            <w:r>
              <w:rPr>
                <w:rFonts w:hint="eastAsia"/>
                <w:sz w:val="24"/>
              </w:rPr>
              <w:t>日在浙江省政府采购网发布单一来源采购公示，且公示期间没有供应商、单位或者个人提出有效异议。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521" w:type="dxa"/>
            <w:vMerge w:val="restart"/>
            <w:vAlign w:val="center"/>
          </w:tcPr>
          <w:p>
            <w:pPr>
              <w:spacing w:line="300" w:lineRule="exact"/>
              <w:jc w:val="center"/>
              <w:rPr>
                <w:sz w:val="24"/>
              </w:rPr>
            </w:pPr>
            <w:r>
              <w:rPr>
                <w:rFonts w:hint="eastAsia"/>
                <w:sz w:val="24"/>
              </w:rPr>
              <w:t>申请单位</w:t>
            </w:r>
          </w:p>
          <w:p>
            <w:pPr>
              <w:spacing w:line="300" w:lineRule="exact"/>
              <w:jc w:val="center"/>
              <w:rPr>
                <w:sz w:val="24"/>
              </w:rPr>
            </w:pPr>
            <w:r>
              <w:rPr>
                <w:rFonts w:hint="eastAsia"/>
                <w:sz w:val="24"/>
              </w:rPr>
              <w:t>意见</w:t>
            </w:r>
          </w:p>
        </w:tc>
        <w:tc>
          <w:tcPr>
            <w:tcW w:w="7840" w:type="dxa"/>
            <w:gridSpan w:val="3"/>
            <w:vAlign w:val="center"/>
          </w:tcPr>
          <w:p>
            <w:pPr>
              <w:ind w:firstLine="480" w:firstLineChars="200"/>
              <w:rPr>
                <w:sz w:val="24"/>
              </w:rPr>
            </w:pPr>
            <w:r>
              <w:rPr>
                <w:rFonts w:hint="eastAsia"/>
                <w:sz w:val="24"/>
              </w:rPr>
              <w:t>拟采用单一来源采购方式组织本次采购活动。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1521" w:type="dxa"/>
            <w:vMerge w:val="continue"/>
          </w:tcPr>
          <w:p>
            <w:pPr>
              <w:jc w:val="center"/>
              <w:rPr>
                <w:sz w:val="24"/>
              </w:rPr>
            </w:pPr>
          </w:p>
        </w:tc>
        <w:tc>
          <w:tcPr>
            <w:tcW w:w="7840" w:type="dxa"/>
            <w:gridSpan w:val="3"/>
            <w:vAlign w:val="center"/>
          </w:tcPr>
          <w:p>
            <w:pPr>
              <w:rPr>
                <w:sz w:val="24"/>
              </w:rPr>
            </w:pPr>
            <w:r>
              <w:rPr>
                <w:sz w:val="24"/>
              </w:rPr>
              <w:t xml:space="preserve">    </w:t>
            </w:r>
            <w:r>
              <w:rPr>
                <w:rFonts w:hint="eastAsia"/>
                <w:sz w:val="24"/>
              </w:rPr>
              <w:t>申请单位（盖章）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ind w:firstLine="480" w:firstLineChars="200"/>
              <w:rPr>
                <w:sz w:val="24"/>
              </w:rPr>
            </w:pPr>
          </w:p>
          <w:p>
            <w:pPr>
              <w:ind w:firstLine="480" w:firstLineChars="200"/>
              <w:rPr>
                <w:sz w:val="24"/>
              </w:rPr>
            </w:pPr>
          </w:p>
          <w:p>
            <w:pPr>
              <w:rPr>
                <w:sz w:val="24"/>
              </w:rPr>
            </w:pPr>
          </w:p>
          <w:p>
            <w:pPr>
              <w:rPr>
                <w:sz w:val="24"/>
              </w:rPr>
            </w:pPr>
          </w:p>
          <w:p>
            <w:pPr>
              <w:rPr>
                <w:sz w:val="24"/>
              </w:rPr>
            </w:pPr>
            <w:r>
              <w:rPr>
                <w:sz w:val="24"/>
              </w:rPr>
              <w:t xml:space="preserve">    </w:t>
            </w:r>
            <w:r>
              <w:rPr>
                <w:rFonts w:hint="eastAsia"/>
                <w:sz w:val="24"/>
              </w:rPr>
              <w:t>县级人民政府意见（盖章）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pacing w:line="580" w:lineRule="exact"/>
        <w:rPr>
          <w:rFonts w:ascii="黑体" w:hAnsi="黑体"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71" w:left="1588" w:header="1134" w:footer="1304" w:gutter="0"/>
          <w:pgNumType w:fmt="numberInDash"/>
          <w:cols w:space="425" w:num="1"/>
          <w:docGrid w:type="lines" w:linePitch="312" w:charSpace="0"/>
        </w:sectPr>
      </w:pPr>
    </w:p>
    <w:p>
      <w:pPr>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rPr>
          <w:rFonts w:ascii="黑体" w:hAnsi="黑体" w:eastAsia="黑体"/>
          <w:szCs w:val="21"/>
        </w:rPr>
      </w:pPr>
    </w:p>
    <w:p>
      <w:pPr>
        <w:rPr>
          <w:rFonts w:ascii="仿宋_GB2312" w:hAnsi="黑体" w:eastAsia="仿宋_GB2312"/>
          <w:sz w:val="32"/>
          <w:szCs w:val="32"/>
        </w:rPr>
      </w:pPr>
      <w:r>
        <w:drawing>
          <wp:inline distT="0" distB="0" distL="114300" distR="114300">
            <wp:extent cx="8496300" cy="4229100"/>
            <wp:effectExtent l="0" t="0" r="0" b="0"/>
            <wp:docPr id="5" name="图片 1" descr="IMG_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3137"/>
                    <pic:cNvPicPr>
                      <a:picLocks noChangeAspect="1"/>
                    </pic:cNvPicPr>
                  </pic:nvPicPr>
                  <pic:blipFill>
                    <a:blip r:embed="rId11">
                      <a:clrChange>
                        <a:clrFrom>
                          <a:srgbClr val="FBFBFB"/>
                        </a:clrFrom>
                        <a:clrTo>
                          <a:srgbClr val="FBFBFB">
                            <a:alpha val="0"/>
                          </a:srgbClr>
                        </a:clrTo>
                      </a:clrChange>
                    </a:blip>
                    <a:stretch>
                      <a:fillRect/>
                    </a:stretch>
                  </pic:blipFill>
                  <pic:spPr>
                    <a:xfrm>
                      <a:off x="0" y="0"/>
                      <a:ext cx="8496300" cy="4229100"/>
                    </a:xfrm>
                    <a:prstGeom prst="rect">
                      <a:avLst/>
                    </a:prstGeom>
                    <a:noFill/>
                    <a:ln>
                      <a:noFill/>
                    </a:ln>
                  </pic:spPr>
                </pic:pic>
              </a:graphicData>
            </a:graphic>
          </wp:inline>
        </w:drawing>
      </w: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sectPr>
          <w:pgSz w:w="16838" w:h="11906" w:orient="landscape"/>
          <w:pgMar w:top="1588" w:right="1701" w:bottom="1474" w:left="1701" w:header="1134" w:footer="1304" w:gutter="0"/>
          <w:pgNumType w:fmt="numberInDash"/>
          <w:cols w:space="425" w:num="1"/>
          <w:docGrid w:type="linesAndChars" w:linePitch="312" w:charSpace="0"/>
        </w:sect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rPr>
          <w:rFonts w:ascii="仿宋_GB2312" w:hAnsi="黑体" w:eastAsia="仿宋_GB2312"/>
          <w:sz w:val="32"/>
          <w:szCs w:val="32"/>
        </w:rPr>
      </w:pPr>
    </w:p>
    <w:p>
      <w:pPr>
        <w:spacing w:line="580" w:lineRule="exact"/>
        <w:ind w:firstLine="210" w:firstLineChars="100"/>
        <w:rPr>
          <w:rFonts w:ascii="仿宋_GB2312" w:hAnsi="黑体" w:eastAsia="仿宋_GB2312"/>
          <w:sz w:val="32"/>
          <w:szCs w:val="32"/>
        </w:rPr>
      </w:pPr>
      <w: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601970" cy="396240"/>
                <wp:effectExtent l="0" t="4445" r="11430" b="5715"/>
                <wp:wrapNone/>
                <wp:docPr id="4" name="组合 3"/>
                <wp:cNvGraphicFramePr/>
                <a:graphic xmlns:a="http://schemas.openxmlformats.org/drawingml/2006/main">
                  <a:graphicData uri="http://schemas.microsoft.com/office/word/2010/wordprocessingGroup">
                    <wpg:wgp>
                      <wpg:cNvGrpSpPr/>
                      <wpg:grpSpPr>
                        <a:xfrm>
                          <a:off x="0" y="0"/>
                          <a:ext cx="5601970" cy="396240"/>
                          <a:chOff x="1588" y="14326"/>
                          <a:chExt cx="9000" cy="624"/>
                        </a:xfrm>
                      </wpg:grpSpPr>
                      <wps:wsp>
                        <wps:cNvPr id="2" name="直线 4"/>
                        <wps:cNvCnPr/>
                        <wps:spPr>
                          <a:xfrm>
                            <a:off x="1588" y="14950"/>
                            <a:ext cx="9000" cy="0"/>
                          </a:xfrm>
                          <a:prstGeom prst="line">
                            <a:avLst/>
                          </a:prstGeom>
                          <a:ln w="9525" cap="flat" cmpd="sng">
                            <a:solidFill>
                              <a:srgbClr val="000000"/>
                            </a:solidFill>
                            <a:prstDash val="solid"/>
                            <a:headEnd type="none" w="med" len="med"/>
                            <a:tailEnd type="none" w="med" len="med"/>
                          </a:ln>
                        </wps:spPr>
                        <wps:bodyPr upright="1"/>
                      </wps:wsp>
                      <wps:wsp>
                        <wps:cNvPr id="3" name="直线 5"/>
                        <wps:cNvCnPr/>
                        <wps:spPr>
                          <a:xfrm>
                            <a:off x="1588" y="14326"/>
                            <a:ext cx="900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3" o:spid="_x0000_s1026" o:spt="203" style="position:absolute;left:0pt;margin-left:0pt;margin-top:2.4pt;height:31.2pt;width:441.1pt;z-index:251660288;mso-width-relative:page;mso-height-relative:page;" coordorigin="1588,14326" coordsize="9000,624" o:gfxdata="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&#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J8waG1gAAAAUBAAAPAAAAAAAAAAEAIAAAACIAAABk&#10;cnMvZG93bnJldi54bWxQSwECFAAUAAAACACHTuJAx3mZZ3oCAAAQBwAADgAAAAAAAAABACAAAAAl&#10;AQAAZHJzL2Uyb0RvYy54bWxQSwUGAAAAAAYABgBZAQAAEQYAAAAA&#10;">
                <o:lock v:ext="edit" aspectratio="f"/>
                <v:line id="直线 4" o:spid="_x0000_s1026" o:spt="20" style="position:absolute;left:1588;top:14950;height:0;width:900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5" o:spid="_x0000_s1026" o:spt="20" style="position:absolute;left:1588;top:14326;height:0;width:9000;"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黑体" w:eastAsia="仿宋_GB2312"/>
          <w:sz w:val="32"/>
          <w:szCs w:val="32"/>
        </w:rPr>
        <w:t>安吉县财政局办公室</w:t>
      </w:r>
      <w:r>
        <w:rPr>
          <w:rFonts w:ascii="仿宋_GB2312" w:hAnsi="黑体" w:eastAsia="仿宋_GB2312"/>
          <w:sz w:val="32"/>
          <w:szCs w:val="32"/>
        </w:rPr>
        <w:t xml:space="preserve">               2022</w:t>
      </w:r>
      <w:r>
        <w:rPr>
          <w:rFonts w:hint="eastAsia" w:ascii="仿宋_GB2312" w:hAnsi="黑体" w:eastAsia="仿宋_GB2312"/>
          <w:sz w:val="32"/>
          <w:szCs w:val="32"/>
        </w:rPr>
        <w:t>年</w:t>
      </w:r>
      <w:r>
        <w:rPr>
          <w:rFonts w:hint="eastAsia" w:ascii="仿宋_GB2312" w:hAnsi="黑体" w:eastAsia="仿宋_GB2312"/>
          <w:sz w:val="32"/>
          <w:szCs w:val="32"/>
          <w:lang w:val="en-US" w:eastAsia="zh-CN"/>
        </w:rPr>
        <w:t>5</w:t>
      </w:r>
      <w:r>
        <w:rPr>
          <w:rFonts w:hint="eastAsia" w:ascii="仿宋_GB2312" w:hAnsi="黑体" w:eastAsia="仿宋_GB2312"/>
          <w:sz w:val="32"/>
          <w:szCs w:val="32"/>
        </w:rPr>
        <w:t>月</w:t>
      </w:r>
      <w:r>
        <w:rPr>
          <w:rFonts w:hint="eastAsia" w:ascii="仿宋_GB2312" w:hAnsi="黑体" w:eastAsia="仿宋_GB2312"/>
          <w:sz w:val="32"/>
          <w:szCs w:val="32"/>
          <w:lang w:val="en-US" w:eastAsia="zh-CN"/>
        </w:rPr>
        <w:t>16</w:t>
      </w:r>
      <w:r>
        <w:rPr>
          <w:rFonts w:hint="eastAsia" w:ascii="仿宋_GB2312" w:hAnsi="黑体" w:eastAsia="仿宋_GB2312"/>
          <w:sz w:val="32"/>
          <w:szCs w:val="32"/>
        </w:rPr>
        <w:t>日印发</w:t>
      </w:r>
    </w:p>
    <w:sectPr>
      <w:pgSz w:w="11906" w:h="16838"/>
      <w:pgMar w:top="2098" w:right="1474" w:bottom="1871" w:left="1588" w:header="1134"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粗圆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4D30A"/>
    <w:multiLevelType w:val="singleLevel"/>
    <w:tmpl w:val="54A4D30A"/>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MWJhYjc2ZDRiNzk5YzM0ZDE4ZjJkOGUxNzA3MWIifQ=="/>
  </w:docVars>
  <w:rsids>
    <w:rsidRoot w:val="00172A27"/>
    <w:rsid w:val="00016983"/>
    <w:rsid w:val="000577AC"/>
    <w:rsid w:val="000620CA"/>
    <w:rsid w:val="00110902"/>
    <w:rsid w:val="00170950"/>
    <w:rsid w:val="00172A27"/>
    <w:rsid w:val="0018503C"/>
    <w:rsid w:val="001A4641"/>
    <w:rsid w:val="001B0E3C"/>
    <w:rsid w:val="001C0C9E"/>
    <w:rsid w:val="002117AF"/>
    <w:rsid w:val="00212A90"/>
    <w:rsid w:val="00247923"/>
    <w:rsid w:val="00251C94"/>
    <w:rsid w:val="002B3532"/>
    <w:rsid w:val="003657E9"/>
    <w:rsid w:val="00382E14"/>
    <w:rsid w:val="003B6779"/>
    <w:rsid w:val="003E62DB"/>
    <w:rsid w:val="00410A21"/>
    <w:rsid w:val="004351BA"/>
    <w:rsid w:val="00447520"/>
    <w:rsid w:val="0045492D"/>
    <w:rsid w:val="0046103C"/>
    <w:rsid w:val="004615E2"/>
    <w:rsid w:val="004B71DE"/>
    <w:rsid w:val="0050007B"/>
    <w:rsid w:val="0052515B"/>
    <w:rsid w:val="005A5763"/>
    <w:rsid w:val="005F037B"/>
    <w:rsid w:val="00625A30"/>
    <w:rsid w:val="00647201"/>
    <w:rsid w:val="00661808"/>
    <w:rsid w:val="006C5D46"/>
    <w:rsid w:val="006E42B1"/>
    <w:rsid w:val="00773A25"/>
    <w:rsid w:val="007E2213"/>
    <w:rsid w:val="00816A77"/>
    <w:rsid w:val="00820D4C"/>
    <w:rsid w:val="00937886"/>
    <w:rsid w:val="00971C66"/>
    <w:rsid w:val="00994C08"/>
    <w:rsid w:val="009A3A09"/>
    <w:rsid w:val="009B332F"/>
    <w:rsid w:val="009B3721"/>
    <w:rsid w:val="00A67CD4"/>
    <w:rsid w:val="00A876C5"/>
    <w:rsid w:val="00AA1A63"/>
    <w:rsid w:val="00AA4464"/>
    <w:rsid w:val="00B23D01"/>
    <w:rsid w:val="00B448C8"/>
    <w:rsid w:val="00B73373"/>
    <w:rsid w:val="00B96B59"/>
    <w:rsid w:val="00C07411"/>
    <w:rsid w:val="00C6197A"/>
    <w:rsid w:val="00CD3FFB"/>
    <w:rsid w:val="00D26434"/>
    <w:rsid w:val="00DE06AA"/>
    <w:rsid w:val="00DE1060"/>
    <w:rsid w:val="00EA02E9"/>
    <w:rsid w:val="00EA63EC"/>
    <w:rsid w:val="00EA6D7B"/>
    <w:rsid w:val="00ED786D"/>
    <w:rsid w:val="00F02DCC"/>
    <w:rsid w:val="00F12023"/>
    <w:rsid w:val="00F57845"/>
    <w:rsid w:val="00FB6753"/>
    <w:rsid w:val="00FC007C"/>
    <w:rsid w:val="00FE32FA"/>
    <w:rsid w:val="163008E3"/>
    <w:rsid w:val="20F301A4"/>
    <w:rsid w:val="23F67176"/>
    <w:rsid w:val="25D85416"/>
    <w:rsid w:val="261A51AB"/>
    <w:rsid w:val="2F412621"/>
    <w:rsid w:val="32442D02"/>
    <w:rsid w:val="38606547"/>
    <w:rsid w:val="39AC14CA"/>
    <w:rsid w:val="4C621B1B"/>
    <w:rsid w:val="500724BF"/>
    <w:rsid w:val="5BD909E6"/>
    <w:rsid w:val="64582BD7"/>
    <w:rsid w:val="68272AB9"/>
    <w:rsid w:val="6B926200"/>
    <w:rsid w:val="6DD34832"/>
    <w:rsid w:val="72200844"/>
    <w:rsid w:val="72DA7BF2"/>
    <w:rsid w:val="75847904"/>
    <w:rsid w:val="75CEA850"/>
    <w:rsid w:val="78FF6685"/>
    <w:rsid w:val="8DFF08C2"/>
    <w:rsid w:val="F7FB69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customStyle="1" w:styleId="7">
    <w:name w:val="Footer Char"/>
    <w:basedOn w:val="5"/>
    <w:link w:val="2"/>
    <w:semiHidden/>
    <w:locked/>
    <w:uiPriority w:val="99"/>
    <w:rPr>
      <w:rFonts w:cs="Times New Roman"/>
      <w:sz w:val="18"/>
      <w:szCs w:val="18"/>
    </w:rPr>
  </w:style>
  <w:style w:type="character" w:customStyle="1" w:styleId="8">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4810</Words>
  <Characters>4832</Characters>
  <Lines>0</Lines>
  <Paragraphs>0</Paragraphs>
  <TotalTime>4</TotalTime>
  <ScaleCrop>false</ScaleCrop>
  <LinksUpToDate>false</LinksUpToDate>
  <CharactersWithSpaces>5135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2022-04-14T00:02:00Z</dcterms:created>
  <dc:creator>Admin21</dc:creator>
  <cp:lastModifiedBy>Iris</cp:lastModifiedBy>
  <dcterms:modified xsi:type="dcterms:W3CDTF">2022-05-18T00:46:09Z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5C798A2E57A24B9E8C505C6F34E886A9</vt:lpwstr>
  </property>
  <property fmtid="{D5CDD505-2E9C-101B-9397-08002B2CF9AE}" pid="4" name="woTemplateTypoMode" linkTarget="0">
    <vt:lpwstr>web</vt:lpwstr>
  </property>
  <property fmtid="{D5CDD505-2E9C-101B-9397-08002B2CF9AE}" pid="5" name="woTemplate" linkTarget="0">
    <vt:i4>1</vt:i4>
  </property>
</Properties>
</file>