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jc w:val="center"/>
        <w:tblCellSpacing w:w="0" w:type="dxa"/>
        <w:tblCellMar>
          <w:left w:w="0" w:type="dxa"/>
          <w:right w:w="0" w:type="dxa"/>
        </w:tblCellMar>
        <w:tblLook w:val="04A0"/>
      </w:tblPr>
      <w:tblGrid>
        <w:gridCol w:w="13500"/>
      </w:tblGrid>
      <w:tr w:rsidR="00636886" w:rsidRPr="00636886">
        <w:trPr>
          <w:trHeight w:val="750"/>
          <w:tblCellSpacing w:w="0" w:type="dxa"/>
          <w:jc w:val="center"/>
        </w:trPr>
        <w:tc>
          <w:tcPr>
            <w:tcW w:w="13500" w:type="dxa"/>
            <w:tcMar>
              <w:top w:w="0" w:type="dxa"/>
              <w:left w:w="600" w:type="dxa"/>
              <w:bottom w:w="0" w:type="dxa"/>
              <w:right w:w="600" w:type="dxa"/>
            </w:tcMar>
            <w:vAlign w:val="center"/>
            <w:hideMark/>
          </w:tcPr>
          <w:p w:rsidR="00636886" w:rsidRPr="00636886" w:rsidRDefault="00636886" w:rsidP="00636886">
            <w:pPr>
              <w:widowControl/>
              <w:spacing w:line="360" w:lineRule="auto"/>
              <w:jc w:val="center"/>
              <w:rPr>
                <w:rFonts w:ascii="宋体 ，Arial" w:eastAsia="宋体 ，Arial" w:hAnsi="宋体" w:cs="宋体"/>
                <w:b/>
                <w:bCs/>
                <w:color w:val="000000"/>
                <w:kern w:val="0"/>
                <w:sz w:val="33"/>
                <w:szCs w:val="33"/>
              </w:rPr>
            </w:pPr>
            <w:r w:rsidRPr="00636886">
              <w:rPr>
                <w:rFonts w:ascii="宋体 ，Arial" w:eastAsia="宋体 ，Arial" w:hAnsi="宋体" w:cs="宋体" w:hint="eastAsia"/>
                <w:b/>
                <w:bCs/>
                <w:color w:val="000000"/>
                <w:kern w:val="0"/>
                <w:sz w:val="33"/>
                <w:szCs w:val="33"/>
              </w:rPr>
              <w:t>住房城乡建设部办公厅关于做好取消城市园林绿化企业资质核准行政许可事项相关工作的通知</w:t>
            </w:r>
          </w:p>
        </w:tc>
      </w:tr>
      <w:tr w:rsidR="00636886" w:rsidRPr="00636886">
        <w:trPr>
          <w:trHeight w:val="375"/>
          <w:tblCellSpacing w:w="0" w:type="dxa"/>
          <w:jc w:val="center"/>
        </w:trPr>
        <w:tc>
          <w:tcPr>
            <w:tcW w:w="13500" w:type="dxa"/>
            <w:vAlign w:val="center"/>
            <w:hideMark/>
          </w:tcPr>
          <w:tbl>
            <w:tblPr>
              <w:tblW w:w="4500" w:type="pct"/>
              <w:jc w:val="center"/>
              <w:tblCellSpacing w:w="0" w:type="dxa"/>
              <w:tblCellMar>
                <w:left w:w="0" w:type="dxa"/>
                <w:right w:w="0" w:type="dxa"/>
              </w:tblCellMar>
              <w:tblLook w:val="04A0"/>
            </w:tblPr>
            <w:tblGrid>
              <w:gridCol w:w="12150"/>
            </w:tblGrid>
            <w:tr w:rsidR="00636886" w:rsidRPr="00636886">
              <w:trPr>
                <w:tblCellSpacing w:w="0" w:type="dxa"/>
                <w:jc w:val="center"/>
              </w:trPr>
              <w:tc>
                <w:tcPr>
                  <w:tcW w:w="13500" w:type="dxa"/>
                  <w:vAlign w:val="center"/>
                  <w:hideMark/>
                </w:tcPr>
                <w:p w:rsidR="00636886" w:rsidRPr="00513436" w:rsidRDefault="00636886" w:rsidP="00636886">
                  <w:pPr>
                    <w:widowControl/>
                    <w:spacing w:line="360" w:lineRule="atLeast"/>
                    <w:jc w:val="center"/>
                    <w:rPr>
                      <w:rFonts w:ascii="宋体 ，Arial" w:eastAsia="宋体 ，Arial" w:hAnsi="宋体" w:cs="宋体"/>
                      <w:color w:val="000000"/>
                      <w:kern w:val="0"/>
                      <w:sz w:val="36"/>
                      <w:szCs w:val="36"/>
                    </w:rPr>
                  </w:pPr>
                  <w:r w:rsidRPr="00513436">
                    <w:rPr>
                      <w:rFonts w:ascii="宋体 ，Arial" w:eastAsia="宋体 ，Arial" w:hAnsi="宋体" w:cs="宋体" w:hint="eastAsia"/>
                      <w:color w:val="000000"/>
                      <w:kern w:val="0"/>
                      <w:sz w:val="36"/>
                      <w:szCs w:val="36"/>
                    </w:rPr>
                    <w:t>建办城[2017]27号</w:t>
                  </w:r>
                </w:p>
              </w:tc>
            </w:tr>
          </w:tbl>
          <w:p w:rsidR="00636886" w:rsidRPr="00636886" w:rsidRDefault="00636886" w:rsidP="00636886">
            <w:pPr>
              <w:widowControl/>
              <w:spacing w:line="360" w:lineRule="atLeast"/>
              <w:jc w:val="center"/>
              <w:rPr>
                <w:rFonts w:ascii="宋体 ，Arial" w:eastAsia="宋体 ，Arial" w:hAnsi="宋体" w:cs="宋体"/>
                <w:color w:val="000000"/>
                <w:kern w:val="0"/>
                <w:sz w:val="18"/>
                <w:szCs w:val="18"/>
              </w:rPr>
            </w:pPr>
          </w:p>
        </w:tc>
      </w:tr>
      <w:tr w:rsidR="00636886" w:rsidRPr="00636886">
        <w:trPr>
          <w:trHeight w:val="30"/>
          <w:tblCellSpacing w:w="0" w:type="dxa"/>
          <w:jc w:val="center"/>
        </w:trPr>
        <w:tc>
          <w:tcPr>
            <w:tcW w:w="13500" w:type="dxa"/>
            <w:tcMar>
              <w:top w:w="225" w:type="dxa"/>
              <w:left w:w="0" w:type="dxa"/>
              <w:bottom w:w="0" w:type="dxa"/>
              <w:right w:w="0" w:type="dxa"/>
            </w:tcMar>
            <w:vAlign w:val="center"/>
            <w:hideMark/>
          </w:tcPr>
          <w:p w:rsidR="00636886" w:rsidRPr="00636886" w:rsidRDefault="00636886" w:rsidP="00636886">
            <w:pPr>
              <w:widowControl/>
              <w:spacing w:line="30" w:lineRule="atLeast"/>
              <w:jc w:val="center"/>
              <w:rPr>
                <w:rFonts w:ascii="宋体 ，Arial" w:eastAsia="宋体 ，Arial" w:hAnsi="宋体" w:cs="宋体"/>
                <w:color w:val="000000"/>
                <w:kern w:val="0"/>
                <w:sz w:val="18"/>
                <w:szCs w:val="18"/>
              </w:rPr>
            </w:pPr>
          </w:p>
        </w:tc>
      </w:tr>
      <w:tr w:rsidR="00636886" w:rsidRPr="00636886">
        <w:trPr>
          <w:tblCellSpacing w:w="0" w:type="dxa"/>
          <w:jc w:val="center"/>
        </w:trPr>
        <w:tc>
          <w:tcPr>
            <w:tcW w:w="13500" w:type="dxa"/>
            <w:vAlign w:val="center"/>
            <w:hideMark/>
          </w:tcPr>
          <w:p w:rsidR="00636886" w:rsidRPr="00636886" w:rsidRDefault="00636886" w:rsidP="00636886">
            <w:pPr>
              <w:widowControl/>
              <w:spacing w:line="360" w:lineRule="atLeast"/>
              <w:jc w:val="center"/>
              <w:rPr>
                <w:rFonts w:ascii="宋体 ，Arial" w:eastAsia="宋体 ，Arial" w:hAnsi="宋体" w:cs="宋体"/>
                <w:color w:val="000000"/>
                <w:kern w:val="0"/>
                <w:szCs w:val="21"/>
              </w:rPr>
            </w:pPr>
          </w:p>
        </w:tc>
      </w:tr>
      <w:tr w:rsidR="00636886" w:rsidRPr="00636886">
        <w:trPr>
          <w:trHeight w:val="300"/>
          <w:tblCellSpacing w:w="0" w:type="dxa"/>
          <w:jc w:val="center"/>
        </w:trPr>
        <w:tc>
          <w:tcPr>
            <w:tcW w:w="13500" w:type="dxa"/>
            <w:tcMar>
              <w:top w:w="150" w:type="dxa"/>
              <w:left w:w="450" w:type="dxa"/>
              <w:bottom w:w="0" w:type="dxa"/>
              <w:right w:w="450" w:type="dxa"/>
            </w:tcMar>
            <w:vAlign w:val="center"/>
            <w:hideMark/>
          </w:tcPr>
          <w:p w:rsidR="00636886" w:rsidRPr="00636886" w:rsidRDefault="00636886" w:rsidP="00636886">
            <w:pPr>
              <w:widowControl/>
              <w:spacing w:line="360" w:lineRule="atLeast"/>
              <w:jc w:val="left"/>
              <w:rPr>
                <w:rFonts w:ascii="宋体 ，Arial" w:eastAsia="宋体 ，Arial" w:hAnsi="宋体" w:cs="宋体"/>
                <w:color w:val="000000"/>
                <w:kern w:val="0"/>
                <w:sz w:val="18"/>
                <w:szCs w:val="18"/>
              </w:rPr>
            </w:pPr>
          </w:p>
        </w:tc>
      </w:tr>
      <w:tr w:rsidR="00636886" w:rsidRPr="00636886">
        <w:trPr>
          <w:trHeight w:val="450"/>
          <w:tblCellSpacing w:w="0" w:type="dxa"/>
          <w:jc w:val="center"/>
        </w:trPr>
        <w:tc>
          <w:tcPr>
            <w:tcW w:w="13500" w:type="dxa"/>
            <w:vAlign w:val="center"/>
            <w:hideMark/>
          </w:tcPr>
          <w:p w:rsidR="00636886" w:rsidRPr="00F149F4" w:rsidRDefault="00636886" w:rsidP="00636886">
            <w:pPr>
              <w:widowControl/>
              <w:spacing w:line="360" w:lineRule="atLeast"/>
              <w:jc w:val="left"/>
              <w:rPr>
                <w:rFonts w:ascii="宋体 ，Arial" w:eastAsia="宋体 ，Arial" w:hAnsi="宋体" w:cs="宋体"/>
                <w:color w:val="000000"/>
                <w:kern w:val="0"/>
                <w:sz w:val="18"/>
                <w:szCs w:val="18"/>
              </w:rPr>
            </w:pPr>
            <w:r w:rsidRPr="00BC55A1">
              <w:rPr>
                <w:rFonts w:ascii="仿宋_GB2312" w:eastAsia="仿宋_GB2312" w:hAnsi="宋体" w:hint="eastAsia"/>
                <w:color w:val="000000"/>
                <w:sz w:val="30"/>
                <w:szCs w:val="30"/>
              </w:rPr>
              <w:t>各省、自治区住房城乡建设厅，北京市园林绿化局，上海市绿化和市容管理局，天津市市容和园林管理委员会，重庆市园林事业管理局，新疆生产建设兵团建设局、军委后勤保障部军事设施建设局：</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为贯彻落实《国务院关于修改和废止部分行政法规的决定》（国务院令第676号）关于删除《城市绿化条例》第十六条“城市绿化工程的施工，应当委托持有相应资格证书的单位承担”的决定，做好相关工作，现将有关事项通知如下：</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一、各级住房城乡建设（园林绿化）主管部门不再受理城市园林绿化企业资质核准的相关申请。</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二、各级住房城乡建设（园林绿化）主管部门不得以任何方式，强制要求将城市园林绿化企业资质或市政公用工程施工总承包等资质作为承包园林绿化工程施工业务的条件。</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三、各地要按照国务院推进简政放权、放管结合、优化服务改革的要求，创新城市园林绿化市场管</w:t>
            </w:r>
            <w:r w:rsidRPr="00BC55A1">
              <w:rPr>
                <w:rFonts w:ascii="仿宋_GB2312" w:eastAsia="仿宋_GB2312" w:hAnsi="宋体" w:hint="eastAsia"/>
                <w:color w:val="000000"/>
                <w:sz w:val="30"/>
                <w:szCs w:val="30"/>
              </w:rPr>
              <w:lastRenderedPageBreak/>
              <w:t>理方式，探索建立健全园林绿化企业信用评价、守信激励、失信惩戒等信用管理制度，加强事中事后监管，维护市场公平竞争秩序。</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四、《关于城市园林绿化企业一级资质核准有关事宜的通知》（建办城函[2015]133号）自本通知印发之日起废止。</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此前有关园林绿化企业管理文件规定与本通知不一致的，均以本通知为准。</w:t>
            </w:r>
          </w:p>
          <w:p w:rsidR="00636886" w:rsidRPr="00BC55A1" w:rsidRDefault="00636886" w:rsidP="00636886">
            <w:pPr>
              <w:widowControl/>
              <w:spacing w:line="360" w:lineRule="atLeast"/>
              <w:jc w:val="left"/>
              <w:rPr>
                <w:rFonts w:ascii="仿宋_GB2312" w:eastAsia="仿宋_GB2312" w:hAnsi="宋体"/>
                <w:color w:val="000000"/>
                <w:sz w:val="30"/>
                <w:szCs w:val="30"/>
              </w:rPr>
            </w:pPr>
            <w:r w:rsidRPr="00BC55A1">
              <w:rPr>
                <w:rFonts w:ascii="仿宋_GB2312" w:eastAsia="仿宋_GB2312" w:hAnsi="宋体" w:hint="eastAsia"/>
                <w:color w:val="000000"/>
                <w:sz w:val="30"/>
                <w:szCs w:val="30"/>
              </w:rPr>
              <w:t> </w:t>
            </w:r>
          </w:p>
          <w:p w:rsidR="00636886" w:rsidRPr="00BC55A1" w:rsidRDefault="00636886" w:rsidP="00636886">
            <w:pPr>
              <w:widowControl/>
              <w:spacing w:line="360" w:lineRule="atLeast"/>
              <w:jc w:val="center"/>
              <w:rPr>
                <w:rFonts w:ascii="仿宋_GB2312" w:eastAsia="仿宋_GB2312" w:hAnsi="宋体"/>
                <w:color w:val="000000"/>
                <w:sz w:val="30"/>
                <w:szCs w:val="30"/>
              </w:rPr>
            </w:pPr>
            <w:r w:rsidRPr="00BC55A1">
              <w:rPr>
                <w:rFonts w:ascii="仿宋_GB2312" w:eastAsia="仿宋_GB2312" w:hAnsi="宋体" w:hint="eastAsia"/>
                <w:color w:val="000000"/>
                <w:sz w:val="30"/>
                <w:szCs w:val="30"/>
              </w:rPr>
              <w:t xml:space="preserve">　　　　　　　　　　　　　　　　　　　　　　　　　　　中华人民共和国住房和城乡建设部办公厅</w:t>
            </w:r>
            <w:r w:rsidRPr="00BC55A1">
              <w:rPr>
                <w:rFonts w:ascii="仿宋_GB2312" w:eastAsia="仿宋_GB2312" w:hAnsi="宋体" w:hint="eastAsia"/>
                <w:color w:val="000000"/>
                <w:sz w:val="30"/>
                <w:szCs w:val="30"/>
              </w:rPr>
              <w:br/>
              <w:t xml:space="preserve">　　　　　　　　　　　　　　　　　　　　　　　　　　　2017年4月13日</w:t>
            </w:r>
          </w:p>
          <w:p w:rsidR="00636886" w:rsidRPr="00636886" w:rsidRDefault="00636886" w:rsidP="00513436">
            <w:pPr>
              <w:widowControl/>
              <w:spacing w:line="360" w:lineRule="atLeast"/>
              <w:jc w:val="left"/>
              <w:rPr>
                <w:rFonts w:ascii="宋体 ，Arial" w:eastAsia="宋体 ，Arial" w:hAnsi="宋体" w:cs="宋体"/>
                <w:color w:val="000000"/>
                <w:kern w:val="0"/>
                <w:sz w:val="18"/>
                <w:szCs w:val="18"/>
              </w:rPr>
            </w:pPr>
            <w:r w:rsidRPr="00BC55A1">
              <w:rPr>
                <w:rFonts w:ascii="仿宋_GB2312" w:eastAsia="仿宋_GB2312" w:hAnsi="宋体" w:hint="eastAsia"/>
                <w:color w:val="000000"/>
                <w:sz w:val="30"/>
                <w:szCs w:val="30"/>
              </w:rPr>
              <w:t xml:space="preserve">　　</w:t>
            </w:r>
          </w:p>
        </w:tc>
      </w:tr>
      <w:tr w:rsidR="00636886" w:rsidRPr="00636886">
        <w:trPr>
          <w:tblCellSpacing w:w="0" w:type="dxa"/>
          <w:jc w:val="center"/>
        </w:trPr>
        <w:tc>
          <w:tcPr>
            <w:tcW w:w="0" w:type="auto"/>
            <w:vAlign w:val="center"/>
            <w:hideMark/>
          </w:tcPr>
          <w:tbl>
            <w:tblPr>
              <w:tblW w:w="9600" w:type="dxa"/>
              <w:jc w:val="center"/>
              <w:tblCellSpacing w:w="0" w:type="dxa"/>
              <w:tblCellMar>
                <w:left w:w="0" w:type="dxa"/>
                <w:right w:w="0" w:type="dxa"/>
              </w:tblCellMar>
              <w:tblLook w:val="04A0"/>
            </w:tblPr>
            <w:tblGrid>
              <w:gridCol w:w="960"/>
              <w:gridCol w:w="8640"/>
            </w:tblGrid>
            <w:tr w:rsidR="00636886" w:rsidRPr="00636886">
              <w:trPr>
                <w:trHeight w:val="435"/>
                <w:tblCellSpacing w:w="0" w:type="dxa"/>
                <w:jc w:val="center"/>
              </w:trPr>
              <w:tc>
                <w:tcPr>
                  <w:tcW w:w="500" w:type="pct"/>
                  <w:hideMark/>
                </w:tcPr>
                <w:p w:rsidR="00636886" w:rsidRPr="00636886" w:rsidRDefault="00636886" w:rsidP="00636886">
                  <w:pPr>
                    <w:widowControl/>
                    <w:spacing w:line="360" w:lineRule="atLeast"/>
                    <w:jc w:val="left"/>
                    <w:rPr>
                      <w:rFonts w:ascii="宋体 ，Arial" w:eastAsia="宋体 ，Arial" w:hAnsi="宋体" w:cs="宋体"/>
                      <w:color w:val="000000"/>
                      <w:kern w:val="0"/>
                      <w:sz w:val="18"/>
                      <w:szCs w:val="18"/>
                    </w:rPr>
                  </w:pPr>
                </w:p>
              </w:tc>
              <w:tc>
                <w:tcPr>
                  <w:tcW w:w="4500" w:type="pct"/>
                  <w:vAlign w:val="center"/>
                  <w:hideMark/>
                </w:tcPr>
                <w:p w:rsidR="00636886" w:rsidRPr="00636886" w:rsidRDefault="00636886" w:rsidP="00636886">
                  <w:pPr>
                    <w:widowControl/>
                    <w:jc w:val="left"/>
                    <w:rPr>
                      <w:rFonts w:ascii="宋体 ，Arial" w:eastAsia="宋体 ，Arial" w:hAnsi="宋体" w:cs="宋体"/>
                      <w:color w:val="000000"/>
                      <w:kern w:val="0"/>
                      <w:sz w:val="18"/>
                      <w:szCs w:val="18"/>
                    </w:rPr>
                  </w:pPr>
                </w:p>
              </w:tc>
            </w:tr>
            <w:tr w:rsidR="00636886" w:rsidRPr="00636886">
              <w:trPr>
                <w:trHeight w:val="435"/>
                <w:tblCellSpacing w:w="0" w:type="dxa"/>
                <w:jc w:val="center"/>
              </w:trPr>
              <w:tc>
                <w:tcPr>
                  <w:tcW w:w="500" w:type="pct"/>
                  <w:hideMark/>
                </w:tcPr>
                <w:p w:rsidR="00636886" w:rsidRPr="00636886" w:rsidRDefault="00636886" w:rsidP="00636886">
                  <w:pPr>
                    <w:widowControl/>
                    <w:spacing w:line="360" w:lineRule="atLeast"/>
                    <w:jc w:val="left"/>
                    <w:rPr>
                      <w:rFonts w:ascii="宋体 ，Arial" w:eastAsia="宋体 ，Arial" w:hAnsi="宋体" w:cs="宋体"/>
                      <w:color w:val="000000"/>
                      <w:kern w:val="0"/>
                      <w:sz w:val="18"/>
                      <w:szCs w:val="18"/>
                    </w:rPr>
                  </w:pPr>
                </w:p>
              </w:tc>
              <w:tc>
                <w:tcPr>
                  <w:tcW w:w="0" w:type="auto"/>
                  <w:vAlign w:val="center"/>
                  <w:hideMark/>
                </w:tcPr>
                <w:p w:rsidR="00636886" w:rsidRPr="00636886" w:rsidRDefault="00636886" w:rsidP="00636886">
                  <w:pPr>
                    <w:widowControl/>
                    <w:jc w:val="left"/>
                    <w:rPr>
                      <w:rFonts w:ascii="Times New Roman" w:eastAsia="Times New Roman" w:hAnsi="Times New Roman" w:cs="Times New Roman"/>
                      <w:kern w:val="0"/>
                      <w:sz w:val="20"/>
                      <w:szCs w:val="20"/>
                    </w:rPr>
                  </w:pPr>
                </w:p>
              </w:tc>
            </w:tr>
          </w:tbl>
          <w:p w:rsidR="00636886" w:rsidRPr="00636886" w:rsidRDefault="00636886" w:rsidP="00636886">
            <w:pPr>
              <w:widowControl/>
              <w:spacing w:line="360" w:lineRule="atLeast"/>
              <w:jc w:val="left"/>
              <w:rPr>
                <w:rFonts w:ascii="宋体 ，Arial" w:eastAsia="宋体 ，Arial" w:hAnsi="宋体" w:cs="宋体"/>
                <w:color w:val="000000"/>
                <w:kern w:val="0"/>
                <w:sz w:val="18"/>
                <w:szCs w:val="18"/>
              </w:rPr>
            </w:pPr>
          </w:p>
        </w:tc>
      </w:tr>
    </w:tbl>
    <w:p w:rsidR="0050384D" w:rsidRPr="00636886" w:rsidRDefault="0050384D" w:rsidP="00513436"/>
    <w:sectPr w:rsidR="0050384D" w:rsidRPr="00636886" w:rsidSect="0063688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40" w:rsidRDefault="00D45640" w:rsidP="00CA0DCA">
      <w:r>
        <w:separator/>
      </w:r>
    </w:p>
  </w:endnote>
  <w:endnote w:type="continuationSeparator" w:id="1">
    <w:p w:rsidR="00D45640" w:rsidRDefault="00D45640" w:rsidP="00CA0D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40" w:rsidRDefault="00D45640" w:rsidP="00CA0DCA">
      <w:r>
        <w:separator/>
      </w:r>
    </w:p>
  </w:footnote>
  <w:footnote w:type="continuationSeparator" w:id="1">
    <w:p w:rsidR="00D45640" w:rsidRDefault="00D45640" w:rsidP="00CA0D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886"/>
    <w:rsid w:val="0050384D"/>
    <w:rsid w:val="00513436"/>
    <w:rsid w:val="00636886"/>
    <w:rsid w:val="00BC55A1"/>
    <w:rsid w:val="00CA0DCA"/>
    <w:rsid w:val="00CC33EB"/>
    <w:rsid w:val="00D45640"/>
    <w:rsid w:val="00F149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rsid w:val="00636886"/>
    <w:pPr>
      <w:widowControl/>
      <w:jc w:val="left"/>
    </w:pPr>
    <w:rPr>
      <w:rFonts w:ascii="宋体" w:eastAsia="宋体" w:hAnsi="宋体" w:cs="宋体"/>
      <w:kern w:val="0"/>
      <w:sz w:val="24"/>
      <w:szCs w:val="24"/>
    </w:rPr>
  </w:style>
  <w:style w:type="paragraph" w:styleId="a3">
    <w:name w:val="Balloon Text"/>
    <w:basedOn w:val="a"/>
    <w:link w:val="Char"/>
    <w:uiPriority w:val="99"/>
    <w:semiHidden/>
    <w:unhideWhenUsed/>
    <w:rsid w:val="00636886"/>
    <w:rPr>
      <w:sz w:val="18"/>
      <w:szCs w:val="18"/>
    </w:rPr>
  </w:style>
  <w:style w:type="character" w:customStyle="1" w:styleId="Char">
    <w:name w:val="批注框文本 Char"/>
    <w:basedOn w:val="a0"/>
    <w:link w:val="a3"/>
    <w:uiPriority w:val="99"/>
    <w:semiHidden/>
    <w:rsid w:val="00636886"/>
    <w:rPr>
      <w:sz w:val="18"/>
      <w:szCs w:val="18"/>
    </w:rPr>
  </w:style>
  <w:style w:type="paragraph" w:styleId="a4">
    <w:name w:val="header"/>
    <w:basedOn w:val="a"/>
    <w:link w:val="Char0"/>
    <w:uiPriority w:val="99"/>
    <w:semiHidden/>
    <w:unhideWhenUsed/>
    <w:rsid w:val="00CA0D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A0DCA"/>
    <w:rPr>
      <w:sz w:val="18"/>
      <w:szCs w:val="18"/>
    </w:rPr>
  </w:style>
  <w:style w:type="paragraph" w:styleId="a5">
    <w:name w:val="footer"/>
    <w:basedOn w:val="a"/>
    <w:link w:val="Char1"/>
    <w:uiPriority w:val="99"/>
    <w:semiHidden/>
    <w:unhideWhenUsed/>
    <w:rsid w:val="00CA0DC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A0DCA"/>
    <w:rPr>
      <w:sz w:val="18"/>
      <w:szCs w:val="18"/>
    </w:rPr>
  </w:style>
</w:styles>
</file>

<file path=word/webSettings.xml><?xml version="1.0" encoding="utf-8"?>
<w:webSettings xmlns:r="http://schemas.openxmlformats.org/officeDocument/2006/relationships" xmlns:w="http://schemas.openxmlformats.org/wordprocessingml/2006/main">
  <w:divs>
    <w:div w:id="1848594304">
      <w:bodyDiv w:val="1"/>
      <w:marLeft w:val="0"/>
      <w:marRight w:val="0"/>
      <w:marTop w:val="0"/>
      <w:marBottom w:val="0"/>
      <w:divBdr>
        <w:top w:val="none" w:sz="0" w:space="0" w:color="auto"/>
        <w:left w:val="none" w:sz="0" w:space="0" w:color="auto"/>
        <w:bottom w:val="none" w:sz="0" w:space="0" w:color="auto"/>
        <w:right w:val="none" w:sz="0" w:space="0" w:color="auto"/>
      </w:divBdr>
      <w:divsChild>
        <w:div w:id="14352564">
          <w:marLeft w:val="0"/>
          <w:marRight w:val="0"/>
          <w:marTop w:val="0"/>
          <w:marBottom w:val="0"/>
          <w:divBdr>
            <w:top w:val="none" w:sz="0" w:space="0" w:color="auto"/>
            <w:left w:val="none" w:sz="0" w:space="0" w:color="auto"/>
            <w:bottom w:val="none" w:sz="0" w:space="0" w:color="auto"/>
            <w:right w:val="none" w:sz="0" w:space="0" w:color="auto"/>
          </w:divBdr>
          <w:divsChild>
            <w:div w:id="4461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580</Characters>
  <Application>Microsoft Office Word</Application>
  <DocSecurity>0</DocSecurity>
  <Lines>4</Lines>
  <Paragraphs>1</Paragraphs>
  <ScaleCrop>false</ScaleCrop>
  <Company>微软中国</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17</cp:revision>
  <dcterms:created xsi:type="dcterms:W3CDTF">2017-04-18T02:36:00Z</dcterms:created>
  <dcterms:modified xsi:type="dcterms:W3CDTF">2017-04-18T02:39:00Z</dcterms:modified>
</cp:coreProperties>
</file>