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drawing>
          <wp:anchor distT="0" distB="0" distL="114300" distR="114300" simplePos="0" relativeHeight="251659264" behindDoc="1" locked="0" layoutInCell="1" allowOverlap="1">
            <wp:simplePos x="0" y="0"/>
            <wp:positionH relativeFrom="column">
              <wp:posOffset>76200</wp:posOffset>
            </wp:positionH>
            <wp:positionV relativeFrom="paragraph">
              <wp:posOffset>304800</wp:posOffset>
            </wp:positionV>
            <wp:extent cx="5276850" cy="2238375"/>
            <wp:effectExtent l="0" t="0" r="0" b="9525"/>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4"/>
                    <a:stretch>
                      <a:fillRect/>
                    </a:stretch>
                  </pic:blipFill>
                  <pic:spPr>
                    <a:xfrm>
                      <a:off x="0" y="0"/>
                      <a:ext cx="5276850" cy="2238375"/>
                    </a:xfrm>
                    <a:prstGeom prst="rect">
                      <a:avLst/>
                    </a:prstGeom>
                    <a:noFill/>
                    <a:ln>
                      <a:noFill/>
                    </a:ln>
                  </pic:spPr>
                </pic:pic>
              </a:graphicData>
            </a:graphic>
          </wp:anchor>
        </w:drawing>
      </w: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spacing w:line="520" w:lineRule="exact"/>
        <w:ind w:firstLine="2560" w:firstLineChars="800"/>
        <w:jc w:val="both"/>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安公管办发</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8</w:t>
      </w:r>
      <w:r>
        <w:rPr>
          <w:rFonts w:hint="eastAsia" w:ascii="仿宋_GB2312" w:hAnsi="黑体" w:eastAsia="仿宋_GB2312" w:cs="黑体"/>
          <w:bCs/>
          <w:color w:val="000000"/>
          <w:sz w:val="32"/>
          <w:szCs w:val="32"/>
        </w:rPr>
        <w:t>号</w:t>
      </w: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rPr>
        <w:t>关于</w:t>
      </w:r>
      <w:r>
        <w:rPr>
          <w:rFonts w:hint="eastAsia" w:ascii="黑体" w:hAnsi="黑体" w:eastAsia="黑体" w:cs="黑体"/>
          <w:b/>
          <w:bCs/>
          <w:sz w:val="44"/>
          <w:szCs w:val="44"/>
          <w:lang w:val="en-US" w:eastAsia="zh-CN"/>
        </w:rPr>
        <w:t>推行</w:t>
      </w:r>
      <w:r>
        <w:rPr>
          <w:rFonts w:hint="eastAsia" w:ascii="黑体" w:hAnsi="黑体" w:eastAsia="黑体" w:cs="黑体"/>
          <w:b/>
          <w:bCs/>
          <w:sz w:val="44"/>
          <w:szCs w:val="44"/>
        </w:rPr>
        <w:t>工程建设项目</w:t>
      </w:r>
      <w:r>
        <w:rPr>
          <w:rFonts w:hint="eastAsia" w:ascii="黑体" w:hAnsi="黑体" w:eastAsia="黑体" w:cs="黑体"/>
          <w:b/>
          <w:bCs/>
          <w:sz w:val="44"/>
          <w:szCs w:val="44"/>
          <w:lang w:eastAsia="zh-CN"/>
        </w:rPr>
        <w:t>中标单位</w:t>
      </w: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val="en-US" w:eastAsia="zh-CN"/>
        </w:rPr>
        <w:t>标后</w:t>
      </w:r>
      <w:r>
        <w:rPr>
          <w:rFonts w:hint="eastAsia" w:ascii="黑体" w:hAnsi="黑体" w:eastAsia="黑体" w:cs="黑体"/>
          <w:b/>
          <w:bCs/>
          <w:sz w:val="44"/>
          <w:szCs w:val="44"/>
        </w:rPr>
        <w:t>履诺</w:t>
      </w:r>
      <w:r>
        <w:rPr>
          <w:rFonts w:hint="eastAsia" w:ascii="黑体" w:hAnsi="黑体" w:eastAsia="黑体" w:cs="黑体"/>
          <w:b/>
          <w:bCs/>
          <w:sz w:val="44"/>
          <w:szCs w:val="44"/>
          <w:lang w:val="en-US" w:eastAsia="zh-CN"/>
        </w:rPr>
        <w:t>考评工作</w:t>
      </w:r>
      <w:r>
        <w:rPr>
          <w:rFonts w:hint="eastAsia" w:ascii="黑体" w:hAnsi="黑体" w:eastAsia="黑体" w:cs="黑体"/>
          <w:b/>
          <w:bCs/>
          <w:sz w:val="44"/>
          <w:szCs w:val="44"/>
        </w:rPr>
        <w:t>的通知</w:t>
      </w:r>
    </w:p>
    <w:p>
      <w:pPr>
        <w:rPr>
          <w:rFonts w:hint="eastAsia"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各乡镇(街道)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开发区、示范区，各有关部门、</w:t>
      </w:r>
      <w:r>
        <w:rPr>
          <w:rFonts w:hint="eastAsia" w:ascii="仿宋" w:hAnsi="仿宋" w:eastAsia="仿宋" w:cs="仿宋"/>
          <w:sz w:val="32"/>
          <w:szCs w:val="32"/>
        </w:rPr>
        <w:t>国有企业：</w:t>
      </w:r>
    </w:p>
    <w:p>
      <w:pPr>
        <w:ind w:firstLine="640" w:firstLineChars="200"/>
        <w:rPr>
          <w:rFonts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val="en-US" w:eastAsia="zh-CN"/>
        </w:rPr>
        <w:t>切实增强投标企业招标承诺的履诺意识，</w:t>
      </w:r>
      <w:r>
        <w:rPr>
          <w:rFonts w:hint="eastAsia" w:ascii="仿宋" w:hAnsi="仿宋" w:eastAsia="仿宋" w:cs="仿宋"/>
          <w:sz w:val="32"/>
          <w:szCs w:val="32"/>
        </w:rPr>
        <w:t>进一步加强我县工程建设项目标后管理</w:t>
      </w:r>
      <w:r>
        <w:rPr>
          <w:rFonts w:hint="eastAsia" w:ascii="仿宋" w:hAnsi="仿宋" w:eastAsia="仿宋" w:cs="仿宋"/>
          <w:sz w:val="32"/>
          <w:szCs w:val="32"/>
          <w:lang w:eastAsia="zh-CN"/>
        </w:rPr>
        <w:t>，</w:t>
      </w:r>
      <w:r>
        <w:rPr>
          <w:rFonts w:hint="eastAsia" w:ascii="仿宋" w:hAnsi="仿宋" w:eastAsia="仿宋" w:cs="仿宋"/>
          <w:sz w:val="32"/>
          <w:szCs w:val="32"/>
        </w:rPr>
        <w:t>根据住建、交通、水利等行业管理规范，结合</w:t>
      </w:r>
      <w:r>
        <w:rPr>
          <w:rFonts w:hint="eastAsia" w:ascii="仿宋" w:hAnsi="仿宋" w:eastAsia="仿宋" w:cs="仿宋"/>
          <w:sz w:val="32"/>
          <w:szCs w:val="32"/>
          <w:lang w:val="en-US" w:eastAsia="zh-CN"/>
        </w:rPr>
        <w:t>我</w:t>
      </w:r>
      <w:r>
        <w:rPr>
          <w:rFonts w:hint="eastAsia" w:ascii="仿宋" w:hAnsi="仿宋" w:eastAsia="仿宋" w:cs="仿宋"/>
          <w:sz w:val="32"/>
          <w:szCs w:val="32"/>
        </w:rPr>
        <w:t>县实际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决定对我县</w:t>
      </w:r>
      <w:r>
        <w:rPr>
          <w:rFonts w:hint="eastAsia" w:ascii="仿宋" w:hAnsi="仿宋" w:eastAsia="仿宋" w:cs="仿宋"/>
          <w:sz w:val="32"/>
          <w:szCs w:val="32"/>
        </w:rPr>
        <w:t>工程建设项目</w:t>
      </w:r>
      <w:r>
        <w:rPr>
          <w:rFonts w:hint="eastAsia" w:ascii="仿宋" w:hAnsi="仿宋" w:eastAsia="仿宋" w:cs="仿宋"/>
          <w:sz w:val="32"/>
          <w:szCs w:val="32"/>
          <w:lang w:eastAsia="zh-CN"/>
        </w:rPr>
        <w:t>中标单位</w:t>
      </w:r>
      <w:r>
        <w:rPr>
          <w:rFonts w:hint="eastAsia" w:ascii="仿宋" w:hAnsi="仿宋" w:eastAsia="仿宋" w:cs="仿宋"/>
          <w:sz w:val="32"/>
          <w:szCs w:val="32"/>
          <w:lang w:val="en-US" w:eastAsia="zh-CN"/>
        </w:rPr>
        <w:t>开展标后履诺考评</w:t>
      </w:r>
      <w:r>
        <w:rPr>
          <w:rFonts w:hint="eastAsia" w:ascii="仿宋" w:hAnsi="仿宋" w:eastAsia="仿宋" w:cs="仿宋"/>
          <w:sz w:val="32"/>
          <w:szCs w:val="32"/>
          <w:lang w:eastAsia="zh-CN"/>
        </w:rPr>
        <w:t>，现将</w:t>
      </w:r>
      <w:r>
        <w:rPr>
          <w:rFonts w:hint="eastAsia" w:ascii="仿宋" w:hAnsi="仿宋" w:eastAsia="仿宋" w:cs="仿宋"/>
          <w:sz w:val="32"/>
          <w:szCs w:val="32"/>
          <w:lang w:val="en-US" w:eastAsia="zh-CN"/>
        </w:rPr>
        <w:t>有关事项</w:t>
      </w:r>
      <w:r>
        <w:rPr>
          <w:rFonts w:hint="eastAsia" w:ascii="仿宋" w:hAnsi="仿宋" w:eastAsia="仿宋" w:cs="仿宋"/>
          <w:sz w:val="32"/>
          <w:szCs w:val="32"/>
        </w:rPr>
        <w:t>通知如下：</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推行</w:t>
      </w:r>
      <w:r>
        <w:rPr>
          <w:rFonts w:hint="eastAsia" w:ascii="黑体" w:hAnsi="黑体" w:eastAsia="黑体" w:cs="黑体"/>
          <w:b w:val="0"/>
          <w:bCs w:val="0"/>
          <w:sz w:val="32"/>
          <w:szCs w:val="32"/>
        </w:rPr>
        <w:t>履诺</w:t>
      </w:r>
      <w:r>
        <w:rPr>
          <w:rFonts w:hint="eastAsia" w:ascii="黑体" w:hAnsi="黑体" w:eastAsia="黑体" w:cs="黑体"/>
          <w:b w:val="0"/>
          <w:bCs w:val="0"/>
          <w:sz w:val="32"/>
          <w:szCs w:val="32"/>
          <w:lang w:val="en-US" w:eastAsia="zh-CN"/>
        </w:rPr>
        <w:t>考评的项目</w:t>
      </w:r>
      <w:r>
        <w:rPr>
          <w:rFonts w:hint="eastAsia" w:ascii="黑体" w:hAnsi="黑体" w:eastAsia="黑体" w:cs="黑体"/>
          <w:b w:val="0"/>
          <w:bCs w:val="0"/>
          <w:sz w:val="32"/>
          <w:szCs w:val="32"/>
        </w:rPr>
        <w:t>范围</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施工单项合同估算价在 400 万元人民币以上</w:t>
      </w:r>
      <w:r>
        <w:rPr>
          <w:rFonts w:hint="eastAsia" w:ascii="仿宋" w:hAnsi="仿宋" w:eastAsia="仿宋" w:cs="仿宋"/>
          <w:sz w:val="32"/>
          <w:szCs w:val="32"/>
          <w:lang w:eastAsia="zh-CN"/>
        </w:rPr>
        <w:t>的工程建设项目（含监理）。</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二、履诺</w:t>
      </w:r>
      <w:r>
        <w:rPr>
          <w:rFonts w:hint="eastAsia" w:ascii="黑体" w:hAnsi="黑体" w:eastAsia="黑体" w:cs="黑体"/>
          <w:b w:val="0"/>
          <w:bCs w:val="0"/>
          <w:sz w:val="32"/>
          <w:szCs w:val="32"/>
          <w:lang w:val="en-US" w:eastAsia="zh-CN"/>
        </w:rPr>
        <w:t>考评</w:t>
      </w:r>
      <w:r>
        <w:rPr>
          <w:rFonts w:hint="eastAsia" w:ascii="黑体" w:hAnsi="黑体" w:eastAsia="黑体" w:cs="黑体"/>
          <w:b w:val="0"/>
          <w:bCs w:val="0"/>
          <w:sz w:val="32"/>
          <w:szCs w:val="32"/>
        </w:rPr>
        <w:t>对象</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履诺考评对象为中标单位（施工、监理）在招投标文件中约定的关键岗位人员：</w:t>
      </w:r>
      <w:r>
        <w:rPr>
          <w:rFonts w:hint="eastAsia" w:ascii="仿宋" w:hAnsi="仿宋" w:eastAsia="仿宋" w:cs="仿宋"/>
          <w:sz w:val="32"/>
          <w:szCs w:val="32"/>
        </w:rPr>
        <w:t>施工现场项目部项目负责人（建造师）、技术负责人、施工员、安全员、质检员和监理单位总监理工程师、专业监理工程师。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参考附件）</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三、履诺</w:t>
      </w:r>
      <w:r>
        <w:rPr>
          <w:rFonts w:hint="eastAsia" w:ascii="黑体" w:hAnsi="黑体" w:eastAsia="黑体" w:cs="黑体"/>
          <w:b w:val="0"/>
          <w:bCs w:val="0"/>
          <w:sz w:val="32"/>
          <w:szCs w:val="32"/>
          <w:lang w:val="en-US" w:eastAsia="zh-CN"/>
        </w:rPr>
        <w:t>考评内容</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依据</w:t>
      </w:r>
      <w:r>
        <w:rPr>
          <w:rFonts w:hint="eastAsia" w:ascii="仿宋" w:hAnsi="仿宋" w:eastAsia="仿宋" w:cs="仿宋"/>
          <w:sz w:val="32"/>
          <w:szCs w:val="32"/>
        </w:rPr>
        <w:t>施工</w:t>
      </w:r>
      <w:r>
        <w:rPr>
          <w:rFonts w:hint="eastAsia" w:ascii="仿宋" w:hAnsi="仿宋" w:eastAsia="仿宋" w:cs="仿宋"/>
          <w:sz w:val="32"/>
          <w:szCs w:val="32"/>
          <w:lang w:eastAsia="zh-CN"/>
        </w:rPr>
        <w:t>、</w:t>
      </w:r>
      <w:r>
        <w:rPr>
          <w:rFonts w:hint="eastAsia" w:ascii="仿宋" w:hAnsi="仿宋" w:eastAsia="仿宋" w:cs="仿宋"/>
          <w:sz w:val="32"/>
          <w:szCs w:val="32"/>
        </w:rPr>
        <w:t>监理</w:t>
      </w:r>
      <w:r>
        <w:rPr>
          <w:rFonts w:hint="eastAsia" w:ascii="仿宋" w:hAnsi="仿宋" w:eastAsia="仿宋" w:cs="仿宋"/>
          <w:sz w:val="32"/>
          <w:szCs w:val="32"/>
          <w:lang w:eastAsia="zh-CN"/>
        </w:rPr>
        <w:t>中标</w:t>
      </w:r>
      <w:r>
        <w:rPr>
          <w:rFonts w:hint="eastAsia" w:ascii="仿宋" w:hAnsi="仿宋" w:eastAsia="仿宋" w:cs="仿宋"/>
          <w:sz w:val="32"/>
          <w:szCs w:val="32"/>
        </w:rPr>
        <w:t>单位</w:t>
      </w:r>
      <w:r>
        <w:rPr>
          <w:rFonts w:hint="eastAsia" w:ascii="仿宋" w:hAnsi="仿宋" w:eastAsia="仿宋" w:cs="仿宋"/>
          <w:sz w:val="32"/>
          <w:szCs w:val="32"/>
          <w:lang w:eastAsia="zh-CN"/>
        </w:rPr>
        <w:t>在</w:t>
      </w:r>
      <w:r>
        <w:rPr>
          <w:rFonts w:hint="eastAsia" w:ascii="仿宋" w:hAnsi="仿宋" w:eastAsia="仿宋" w:cs="仿宋"/>
          <w:sz w:val="32"/>
          <w:szCs w:val="32"/>
        </w:rPr>
        <w:t>投标文件</w:t>
      </w:r>
      <w:r>
        <w:rPr>
          <w:rFonts w:hint="eastAsia" w:ascii="仿宋" w:hAnsi="仿宋" w:eastAsia="仿宋" w:cs="仿宋"/>
          <w:sz w:val="32"/>
          <w:szCs w:val="32"/>
          <w:lang w:val="en-US" w:eastAsia="zh-CN"/>
        </w:rPr>
        <w:t>的</w:t>
      </w:r>
      <w:r>
        <w:rPr>
          <w:rFonts w:hint="eastAsia" w:ascii="仿宋" w:hAnsi="仿宋" w:eastAsia="仿宋" w:cs="仿宋"/>
          <w:sz w:val="32"/>
          <w:szCs w:val="32"/>
        </w:rPr>
        <w:t>承诺</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配置在现场的关键岗位人员的出勤到岗情况进行考评。</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四、履诺</w:t>
      </w:r>
      <w:r>
        <w:rPr>
          <w:rFonts w:hint="eastAsia" w:ascii="黑体" w:hAnsi="黑体" w:eastAsia="黑体" w:cs="黑体"/>
          <w:b w:val="0"/>
          <w:bCs w:val="0"/>
          <w:sz w:val="32"/>
          <w:szCs w:val="32"/>
          <w:lang w:val="en-US" w:eastAsia="zh-CN"/>
        </w:rPr>
        <w:t>考评</w:t>
      </w:r>
      <w:r>
        <w:rPr>
          <w:rFonts w:hint="eastAsia" w:ascii="黑体" w:hAnsi="黑体" w:eastAsia="黑体" w:cs="黑体"/>
          <w:b w:val="0"/>
          <w:bCs w:val="0"/>
          <w:sz w:val="32"/>
          <w:szCs w:val="32"/>
        </w:rPr>
        <w:t>方式</w:t>
      </w:r>
    </w:p>
    <w:p>
      <w:pPr>
        <w:ind w:firstLine="640" w:firstLineChars="200"/>
        <w:rPr>
          <w:rFonts w:ascii="仿宋" w:hAnsi="仿宋" w:eastAsia="仿宋" w:cs="仿宋"/>
          <w:sz w:val="32"/>
          <w:szCs w:val="32"/>
        </w:rPr>
      </w:pPr>
      <w:r>
        <w:rPr>
          <w:rFonts w:hint="eastAsia" w:ascii="仿宋" w:hAnsi="仿宋" w:eastAsia="仿宋" w:cs="仿宋"/>
          <w:sz w:val="32"/>
          <w:szCs w:val="32"/>
        </w:rPr>
        <w:t>采用</w:t>
      </w:r>
      <w:r>
        <w:rPr>
          <w:rFonts w:hint="eastAsia" w:ascii="仿宋" w:hAnsi="仿宋" w:eastAsia="仿宋" w:cs="仿宋"/>
          <w:sz w:val="32"/>
          <w:szCs w:val="32"/>
          <w:lang w:val="en-US" w:eastAsia="zh-CN"/>
        </w:rPr>
        <w:t>考勤</w:t>
      </w:r>
      <w:r>
        <w:rPr>
          <w:rFonts w:hint="eastAsia" w:ascii="仿宋" w:hAnsi="仿宋" w:eastAsia="仿宋" w:cs="仿宋"/>
          <w:sz w:val="32"/>
          <w:szCs w:val="32"/>
        </w:rPr>
        <w:t>系统</w:t>
      </w:r>
      <w:r>
        <w:rPr>
          <w:rFonts w:hint="eastAsia" w:ascii="仿宋" w:hAnsi="仿宋" w:eastAsia="仿宋" w:cs="仿宋"/>
          <w:sz w:val="32"/>
          <w:szCs w:val="32"/>
          <w:lang w:eastAsia="zh-CN"/>
        </w:rPr>
        <w:t>对工程项目关键岗位人员出勤到岗情况进行录入统计，</w:t>
      </w:r>
      <w:r>
        <w:rPr>
          <w:rFonts w:hint="eastAsia" w:ascii="仿宋" w:hAnsi="仿宋" w:eastAsia="仿宋" w:cs="仿宋"/>
          <w:sz w:val="32"/>
          <w:szCs w:val="32"/>
        </w:rPr>
        <w:t>实时上传数据，管理人员通过</w:t>
      </w:r>
      <w:r>
        <w:rPr>
          <w:rFonts w:hint="eastAsia" w:ascii="仿宋" w:hAnsi="仿宋" w:eastAsia="仿宋" w:cs="仿宋"/>
          <w:sz w:val="32"/>
          <w:szCs w:val="32"/>
          <w:lang w:eastAsia="zh-CN"/>
        </w:rPr>
        <w:t>系统</w:t>
      </w:r>
      <w:r>
        <w:rPr>
          <w:rFonts w:hint="eastAsia" w:ascii="仿宋" w:hAnsi="仿宋" w:eastAsia="仿宋" w:cs="仿宋"/>
          <w:sz w:val="32"/>
          <w:szCs w:val="32"/>
        </w:rPr>
        <w:t>查询</w:t>
      </w:r>
      <w:r>
        <w:rPr>
          <w:rFonts w:hint="eastAsia" w:ascii="仿宋" w:hAnsi="仿宋" w:eastAsia="仿宋" w:cs="仿宋"/>
          <w:sz w:val="32"/>
          <w:szCs w:val="32"/>
          <w:lang w:eastAsia="zh-CN"/>
        </w:rPr>
        <w:t>关键岗位</w:t>
      </w:r>
      <w:r>
        <w:rPr>
          <w:rFonts w:hint="eastAsia" w:ascii="仿宋" w:hAnsi="仿宋" w:eastAsia="仿宋" w:cs="仿宋"/>
          <w:sz w:val="32"/>
          <w:szCs w:val="32"/>
        </w:rPr>
        <w:t>人员到岗情况及打卡记录等详细信息</w:t>
      </w:r>
      <w:r>
        <w:rPr>
          <w:rFonts w:hint="eastAsia" w:ascii="仿宋" w:hAnsi="仿宋" w:eastAsia="仿宋" w:cs="仿宋"/>
          <w:sz w:val="32"/>
          <w:szCs w:val="32"/>
          <w:lang w:eastAsia="zh-CN"/>
        </w:rPr>
        <w:t>进行考评</w:t>
      </w:r>
      <w:r>
        <w:rPr>
          <w:rFonts w:hint="eastAsia"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 xml:space="preserve">   1、参与考</w:t>
      </w:r>
      <w:r>
        <w:rPr>
          <w:rFonts w:hint="eastAsia" w:ascii="仿宋" w:hAnsi="仿宋" w:eastAsia="仿宋" w:cs="仿宋"/>
          <w:sz w:val="32"/>
          <w:szCs w:val="32"/>
          <w:lang w:eastAsia="zh-CN"/>
        </w:rPr>
        <w:t>评</w:t>
      </w:r>
      <w:r>
        <w:rPr>
          <w:rFonts w:hint="eastAsia" w:ascii="仿宋" w:hAnsi="仿宋" w:eastAsia="仿宋" w:cs="仿宋"/>
          <w:sz w:val="32"/>
          <w:szCs w:val="32"/>
        </w:rPr>
        <w:t>人员每天考勤两次,当日有效录入时间为6:00—20:00,时间间隔4小时以上,当天记为有效考勤</w:t>
      </w:r>
      <w:r>
        <w:rPr>
          <w:rFonts w:hint="eastAsia" w:ascii="仿宋" w:hAnsi="仿宋" w:eastAsia="仿宋" w:cs="仿宋"/>
          <w:sz w:val="32"/>
          <w:szCs w:val="32"/>
          <w:lang w:eastAsia="zh-CN"/>
        </w:rPr>
        <w:t>。</w:t>
      </w:r>
      <w:r>
        <w:rPr>
          <w:rFonts w:hint="eastAsia" w:ascii="仿宋" w:hAnsi="仿宋" w:eastAsia="仿宋" w:cs="仿宋"/>
          <w:sz w:val="32"/>
          <w:szCs w:val="32"/>
        </w:rPr>
        <w:t>月考勤到岗率=月有效考勤天数/月实际应考勤天数</w:t>
      </w:r>
      <w:r>
        <w:rPr>
          <w:rFonts w:hint="eastAsia" w:ascii="仿宋" w:hAnsi="仿宋" w:eastAsia="仿宋" w:cs="仿宋"/>
          <w:sz w:val="32"/>
          <w:szCs w:val="32"/>
          <w:lang w:eastAsia="zh-CN"/>
        </w:rPr>
        <w:t>（</w:t>
      </w:r>
      <w:r>
        <w:rPr>
          <w:rFonts w:hint="eastAsia" w:ascii="仿宋" w:hAnsi="仿宋" w:eastAsia="仿宋" w:cs="仿宋"/>
          <w:sz w:val="32"/>
          <w:szCs w:val="32"/>
        </w:rPr>
        <w:t>22天)*100%,考勤到岗率达到80%</w:t>
      </w:r>
      <w:r>
        <w:rPr>
          <w:rFonts w:hint="eastAsia" w:ascii="仿宋" w:hAnsi="仿宋" w:eastAsia="仿宋" w:cs="仿宋"/>
          <w:sz w:val="32"/>
          <w:szCs w:val="32"/>
          <w:lang w:eastAsia="zh-CN"/>
        </w:rPr>
        <w:t>及以上</w:t>
      </w:r>
      <w:r>
        <w:rPr>
          <w:rFonts w:hint="eastAsia" w:ascii="仿宋" w:hAnsi="仿宋" w:eastAsia="仿宋" w:cs="仿宋"/>
          <w:sz w:val="32"/>
          <w:szCs w:val="32"/>
        </w:rPr>
        <w:t>为合格。</w:t>
      </w:r>
    </w:p>
    <w:p>
      <w:pPr>
        <w:ind w:firstLine="640" w:firstLineChars="200"/>
        <w:rPr>
          <w:rFonts w:ascii="仿宋" w:hAnsi="仿宋" w:eastAsia="仿宋" w:cs="仿宋"/>
          <w:sz w:val="32"/>
          <w:szCs w:val="32"/>
        </w:rPr>
      </w:pPr>
      <w:r>
        <w:rPr>
          <w:rFonts w:hint="eastAsia" w:ascii="仿宋" w:hAnsi="仿宋" w:eastAsia="仿宋" w:cs="仿宋"/>
          <w:sz w:val="32"/>
          <w:szCs w:val="32"/>
        </w:rPr>
        <w:t>2、考勤起止时间一般为开工令发出当日至完工当日。如因</w:t>
      </w:r>
      <w:r>
        <w:rPr>
          <w:rFonts w:hint="eastAsia" w:ascii="仿宋" w:hAnsi="仿宋" w:eastAsia="仿宋" w:cs="仿宋"/>
          <w:sz w:val="32"/>
          <w:szCs w:val="32"/>
          <w:lang w:val="en-US" w:eastAsia="zh-CN"/>
        </w:rPr>
        <w:t>客观原因产生停复工、延期等情况，中标单位应及时将</w:t>
      </w:r>
      <w:r>
        <w:rPr>
          <w:rFonts w:hint="eastAsia" w:ascii="仿宋" w:hAnsi="仿宋" w:eastAsia="仿宋" w:cs="仿宋"/>
          <w:sz w:val="32"/>
          <w:szCs w:val="32"/>
        </w:rPr>
        <w:t>相关</w:t>
      </w:r>
      <w:r>
        <w:rPr>
          <w:rFonts w:hint="eastAsia" w:ascii="仿宋" w:hAnsi="仿宋" w:eastAsia="仿宋" w:cs="仿宋"/>
          <w:sz w:val="32"/>
          <w:szCs w:val="32"/>
          <w:lang w:eastAsia="zh-CN"/>
        </w:rPr>
        <w:t>审批</w:t>
      </w:r>
      <w:r>
        <w:rPr>
          <w:rFonts w:hint="eastAsia" w:ascii="仿宋" w:hAnsi="仿宋" w:eastAsia="仿宋" w:cs="仿宋"/>
          <w:sz w:val="32"/>
          <w:szCs w:val="32"/>
        </w:rPr>
        <w:t>材料</w:t>
      </w:r>
      <w:r>
        <w:rPr>
          <w:rFonts w:hint="eastAsia" w:ascii="仿宋" w:hAnsi="仿宋" w:eastAsia="仿宋" w:cs="仿宋"/>
          <w:sz w:val="32"/>
          <w:szCs w:val="32"/>
          <w:lang w:eastAsia="zh-CN"/>
        </w:rPr>
        <w:t>通过考勤系统报</w:t>
      </w:r>
      <w:r>
        <w:rPr>
          <w:rFonts w:hint="eastAsia" w:ascii="仿宋" w:hAnsi="仿宋" w:eastAsia="仿宋" w:cs="仿宋"/>
          <w:sz w:val="32"/>
          <w:szCs w:val="32"/>
        </w:rPr>
        <w:t>送县公管办备案。</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五、履诺</w:t>
      </w:r>
      <w:r>
        <w:rPr>
          <w:rFonts w:hint="eastAsia" w:ascii="黑体" w:hAnsi="黑体" w:eastAsia="黑体" w:cs="黑体"/>
          <w:b w:val="0"/>
          <w:bCs w:val="0"/>
          <w:sz w:val="32"/>
          <w:szCs w:val="32"/>
          <w:lang w:val="en-US" w:eastAsia="zh-CN"/>
        </w:rPr>
        <w:t>考评</w:t>
      </w:r>
      <w:r>
        <w:rPr>
          <w:rFonts w:hint="eastAsia" w:ascii="黑体" w:hAnsi="黑体" w:eastAsia="黑体" w:cs="黑体"/>
          <w:b w:val="0"/>
          <w:bCs w:val="0"/>
          <w:sz w:val="32"/>
          <w:szCs w:val="32"/>
        </w:rPr>
        <w:t>人员变更</w:t>
      </w:r>
    </w:p>
    <w:p>
      <w:pPr>
        <w:ind w:firstLine="640" w:firstLineChars="200"/>
        <w:rPr>
          <w:rFonts w:ascii="仿宋" w:hAnsi="仿宋" w:eastAsia="仿宋" w:cs="仿宋"/>
          <w:sz w:val="32"/>
          <w:szCs w:val="32"/>
        </w:rPr>
      </w:pPr>
      <w:r>
        <w:rPr>
          <w:rFonts w:hint="eastAsia" w:ascii="仿宋" w:hAnsi="仿宋" w:eastAsia="仿宋" w:cs="仿宋"/>
          <w:sz w:val="32"/>
          <w:szCs w:val="32"/>
        </w:rPr>
        <w:t>纳入</w:t>
      </w:r>
      <w:r>
        <w:rPr>
          <w:rFonts w:hint="eastAsia" w:ascii="仿宋" w:hAnsi="仿宋" w:eastAsia="仿宋" w:cs="仿宋"/>
          <w:sz w:val="32"/>
          <w:szCs w:val="32"/>
          <w:lang w:val="en-US" w:eastAsia="zh-CN"/>
        </w:rPr>
        <w:t>考勤</w:t>
      </w:r>
      <w:r>
        <w:rPr>
          <w:rFonts w:hint="eastAsia" w:ascii="仿宋" w:hAnsi="仿宋" w:eastAsia="仿宋" w:cs="仿宋"/>
          <w:sz w:val="32"/>
          <w:szCs w:val="32"/>
        </w:rPr>
        <w:t>系统的关键岗位人员变更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应在变更后3日内将变更材料</w:t>
      </w:r>
      <w:r>
        <w:rPr>
          <w:rFonts w:hint="eastAsia" w:ascii="仿宋" w:hAnsi="仿宋" w:eastAsia="仿宋" w:cs="仿宋"/>
          <w:sz w:val="32"/>
          <w:szCs w:val="32"/>
        </w:rPr>
        <w:t>及时报送县公管办,由公管办在考勤系统中进行人员调整。</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六、履诺</w:t>
      </w:r>
      <w:r>
        <w:rPr>
          <w:rFonts w:hint="eastAsia" w:ascii="黑体" w:hAnsi="黑体" w:eastAsia="黑体" w:cs="黑体"/>
          <w:b w:val="0"/>
          <w:bCs w:val="0"/>
          <w:sz w:val="32"/>
          <w:szCs w:val="32"/>
          <w:lang w:eastAsia="zh-CN"/>
        </w:rPr>
        <w:t>考评</w:t>
      </w:r>
      <w:r>
        <w:rPr>
          <w:rFonts w:hint="eastAsia" w:ascii="黑体" w:hAnsi="黑体" w:eastAsia="黑体" w:cs="黑体"/>
          <w:b w:val="0"/>
          <w:bCs w:val="0"/>
          <w:sz w:val="32"/>
          <w:szCs w:val="32"/>
        </w:rPr>
        <w:t>结果处理</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参与</w:t>
      </w:r>
      <w:r>
        <w:rPr>
          <w:rFonts w:hint="eastAsia" w:ascii="仿宋" w:hAnsi="仿宋" w:eastAsia="仿宋" w:cs="仿宋"/>
          <w:sz w:val="32"/>
          <w:szCs w:val="32"/>
        </w:rPr>
        <w:t>考</w:t>
      </w:r>
      <w:r>
        <w:rPr>
          <w:rFonts w:hint="eastAsia" w:ascii="仿宋" w:hAnsi="仿宋" w:eastAsia="仿宋" w:cs="仿宋"/>
          <w:sz w:val="32"/>
          <w:szCs w:val="32"/>
          <w:lang w:eastAsia="zh-CN"/>
        </w:rPr>
        <w:t>评</w:t>
      </w:r>
      <w:r>
        <w:rPr>
          <w:rFonts w:hint="eastAsia" w:ascii="仿宋" w:hAnsi="仿宋" w:eastAsia="仿宋" w:cs="仿宋"/>
          <w:sz w:val="32"/>
          <w:szCs w:val="32"/>
          <w:lang w:val="en-US" w:eastAsia="zh-CN"/>
        </w:rPr>
        <w:t>的关键岗位</w:t>
      </w:r>
      <w:r>
        <w:rPr>
          <w:rFonts w:hint="eastAsia" w:ascii="仿宋" w:hAnsi="仿宋" w:eastAsia="仿宋" w:cs="仿宋"/>
          <w:sz w:val="32"/>
          <w:szCs w:val="32"/>
        </w:rPr>
        <w:t>人员月考勤到岗率均达到80%</w:t>
      </w:r>
      <w:r>
        <w:rPr>
          <w:rFonts w:hint="eastAsia" w:ascii="仿宋" w:hAnsi="仿宋" w:eastAsia="仿宋" w:cs="仿宋"/>
          <w:sz w:val="32"/>
          <w:szCs w:val="32"/>
          <w:lang w:eastAsia="zh-CN"/>
        </w:rPr>
        <w:t>及</w:t>
      </w:r>
      <w:r>
        <w:rPr>
          <w:rFonts w:hint="eastAsia" w:ascii="仿宋" w:hAnsi="仿宋" w:eastAsia="仿宋" w:cs="仿宋"/>
          <w:sz w:val="32"/>
          <w:szCs w:val="32"/>
        </w:rPr>
        <w:t>以上,该项目当月考</w:t>
      </w:r>
      <w:r>
        <w:rPr>
          <w:rFonts w:hint="eastAsia" w:ascii="仿宋" w:hAnsi="仿宋" w:eastAsia="仿宋" w:cs="仿宋"/>
          <w:sz w:val="32"/>
          <w:szCs w:val="32"/>
          <w:lang w:eastAsia="zh-CN"/>
        </w:rPr>
        <w:t>评</w:t>
      </w:r>
      <w:r>
        <w:rPr>
          <w:rFonts w:hint="eastAsia" w:ascii="仿宋" w:hAnsi="仿宋" w:eastAsia="仿宋" w:cs="仿宋"/>
          <w:sz w:val="32"/>
          <w:szCs w:val="32"/>
        </w:rPr>
        <w:t>结果为合格,否则视为不合格</w:t>
      </w:r>
      <w:r>
        <w:rPr>
          <w:rFonts w:hint="eastAsia" w:ascii="仿宋" w:hAnsi="仿宋" w:eastAsia="仿宋" w:cs="仿宋"/>
          <w:sz w:val="32"/>
          <w:szCs w:val="32"/>
          <w:lang w:eastAsia="zh-CN"/>
        </w:rPr>
        <w:t>。</w:t>
      </w:r>
    </w:p>
    <w:p>
      <w:pPr>
        <w:ind w:firstLine="640"/>
        <w:rPr>
          <w:rFonts w:ascii="仿宋" w:hAnsi="仿宋" w:eastAsia="仿宋" w:cs="仿宋"/>
          <w:sz w:val="32"/>
          <w:szCs w:val="32"/>
        </w:rPr>
      </w:pPr>
      <w:r>
        <w:rPr>
          <w:rFonts w:hint="eastAsia" w:ascii="仿宋" w:hAnsi="仿宋" w:eastAsia="仿宋" w:cs="仿宋"/>
          <w:sz w:val="32"/>
          <w:szCs w:val="32"/>
        </w:rPr>
        <w:t>1、项目月考勤到岗率首次出现不合格，由县公管办对中标</w:t>
      </w:r>
      <w:r>
        <w:rPr>
          <w:rFonts w:hint="eastAsia" w:ascii="仿宋" w:hAnsi="仿宋" w:eastAsia="仿宋" w:cs="仿宋"/>
          <w:sz w:val="32"/>
          <w:szCs w:val="32"/>
          <w:lang w:eastAsia="zh-CN"/>
        </w:rPr>
        <w:t>企业</w:t>
      </w:r>
      <w:r>
        <w:rPr>
          <w:rFonts w:hint="eastAsia" w:ascii="仿宋" w:hAnsi="仿宋" w:eastAsia="仿宋" w:cs="仿宋"/>
          <w:sz w:val="32"/>
          <w:szCs w:val="32"/>
        </w:rPr>
        <w:t>发出监管函，</w:t>
      </w:r>
      <w:r>
        <w:rPr>
          <w:rFonts w:hint="eastAsia" w:ascii="仿宋" w:hAnsi="仿宋" w:eastAsia="仿宋" w:cs="仿宋"/>
          <w:sz w:val="32"/>
          <w:szCs w:val="32"/>
          <w:lang w:val="en-US" w:eastAsia="zh-CN"/>
        </w:rPr>
        <w:t>督促整改</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rPr>
        <w:t>2、项目月考勤到岗率第二次出现不合格，根据《安吉县招投标市场不良行为记录管理办法》扣除信用分3分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并将考勤情况通报行业主管部门</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rPr>
        <w:t>3、项目月考勤到岗率第三次出现不合格，根据《安吉县招投标市场不良行为记录管理办法》扣除信用分3分，一个记分周期累计扣分达到6分，由县公管办对中标</w:t>
      </w:r>
      <w:r>
        <w:rPr>
          <w:rFonts w:hint="eastAsia" w:ascii="仿宋" w:hAnsi="仿宋" w:eastAsia="仿宋" w:cs="仿宋"/>
          <w:sz w:val="32"/>
          <w:szCs w:val="32"/>
          <w:lang w:eastAsia="zh-CN"/>
        </w:rPr>
        <w:t>企业</w:t>
      </w:r>
      <w:r>
        <w:rPr>
          <w:rFonts w:hint="eastAsia" w:ascii="仿宋" w:hAnsi="仿宋" w:eastAsia="仿宋" w:cs="仿宋"/>
          <w:sz w:val="32"/>
          <w:szCs w:val="32"/>
        </w:rPr>
        <w:t>和个人作出不良行为公告，期限6个月。</w:t>
      </w:r>
    </w:p>
    <w:p>
      <w:pPr>
        <w:ind w:firstLine="640"/>
        <w:rPr>
          <w:rFonts w:ascii="仿宋" w:hAnsi="仿宋" w:eastAsia="仿宋" w:cs="仿宋"/>
          <w:sz w:val="32"/>
          <w:szCs w:val="32"/>
        </w:rPr>
      </w:pPr>
      <w:r>
        <w:rPr>
          <w:rFonts w:hint="eastAsia" w:ascii="仿宋" w:hAnsi="仿宋" w:eastAsia="仿宋" w:cs="仿宋"/>
          <w:sz w:val="32"/>
          <w:szCs w:val="32"/>
        </w:rPr>
        <w:t>4、项目结束</w:t>
      </w:r>
      <w:r>
        <w:rPr>
          <w:rFonts w:hint="eastAsia" w:ascii="仿宋" w:hAnsi="仿宋" w:eastAsia="仿宋" w:cs="仿宋"/>
          <w:sz w:val="32"/>
          <w:szCs w:val="32"/>
          <w:lang w:eastAsia="zh-CN"/>
        </w:rPr>
        <w:t>时</w:t>
      </w:r>
      <w:r>
        <w:rPr>
          <w:rFonts w:hint="eastAsia" w:ascii="仿宋" w:hAnsi="仿宋" w:eastAsia="仿宋" w:cs="仿宋"/>
          <w:sz w:val="32"/>
          <w:szCs w:val="32"/>
        </w:rPr>
        <w:t>，该项目</w:t>
      </w:r>
      <w:r>
        <w:rPr>
          <w:rFonts w:hint="eastAsia" w:ascii="仿宋" w:hAnsi="仿宋" w:eastAsia="仿宋" w:cs="仿宋"/>
          <w:sz w:val="32"/>
          <w:szCs w:val="32"/>
          <w:lang w:val="en-US" w:eastAsia="zh-CN"/>
        </w:rPr>
        <w:t>所有参与考勤的关键岗位人员整体考勤到岗率（整体</w:t>
      </w:r>
      <w:r>
        <w:rPr>
          <w:rFonts w:hint="eastAsia" w:ascii="仿宋" w:hAnsi="仿宋" w:eastAsia="仿宋" w:cs="仿宋"/>
          <w:sz w:val="32"/>
          <w:szCs w:val="32"/>
        </w:rPr>
        <w:t>考勤到岗率=实际考勤天数/实际工期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w:t>
      </w:r>
      <w:r>
        <w:rPr>
          <w:rFonts w:hint="eastAsia" w:ascii="仿宋" w:hAnsi="仿宋" w:eastAsia="仿宋" w:cs="仿宋"/>
          <w:sz w:val="32"/>
          <w:szCs w:val="32"/>
        </w:rPr>
        <w:t>达到</w:t>
      </w:r>
      <w:r>
        <w:rPr>
          <w:rFonts w:hint="eastAsia" w:ascii="仿宋" w:hAnsi="仿宋" w:eastAsia="仿宋" w:cs="仿宋"/>
          <w:sz w:val="32"/>
          <w:szCs w:val="32"/>
          <w:lang w:val="en-US" w:eastAsia="zh-CN"/>
        </w:rPr>
        <w:t>6</w:t>
      </w:r>
      <w:r>
        <w:rPr>
          <w:rFonts w:hint="eastAsia" w:ascii="仿宋" w:hAnsi="仿宋" w:eastAsia="仿宋" w:cs="仿宋"/>
          <w:sz w:val="32"/>
          <w:szCs w:val="32"/>
        </w:rPr>
        <w:t>0%以上视为该项目整体考</w:t>
      </w:r>
      <w:r>
        <w:rPr>
          <w:rFonts w:hint="eastAsia" w:ascii="仿宋" w:hAnsi="仿宋" w:eastAsia="仿宋" w:cs="仿宋"/>
          <w:sz w:val="32"/>
          <w:szCs w:val="32"/>
          <w:lang w:eastAsia="zh-CN"/>
        </w:rPr>
        <w:t>评</w:t>
      </w:r>
      <w:r>
        <w:rPr>
          <w:rFonts w:hint="eastAsia" w:ascii="仿宋" w:hAnsi="仿宋" w:eastAsia="仿宋" w:cs="仿宋"/>
          <w:sz w:val="32"/>
          <w:szCs w:val="32"/>
        </w:rPr>
        <w:t>合格，如</w:t>
      </w:r>
      <w:r>
        <w:rPr>
          <w:rFonts w:hint="eastAsia" w:ascii="仿宋" w:hAnsi="仿宋" w:eastAsia="仿宋" w:cs="仿宋"/>
          <w:sz w:val="32"/>
          <w:szCs w:val="32"/>
          <w:lang w:val="en-US" w:eastAsia="zh-CN"/>
        </w:rPr>
        <w:t>该单位</w:t>
      </w:r>
      <w:r>
        <w:rPr>
          <w:rFonts w:hint="eastAsia" w:ascii="仿宋" w:hAnsi="仿宋" w:eastAsia="仿宋" w:cs="仿宋"/>
          <w:sz w:val="32"/>
          <w:szCs w:val="32"/>
        </w:rPr>
        <w:t>在月考</w:t>
      </w:r>
      <w:r>
        <w:rPr>
          <w:rFonts w:hint="eastAsia" w:ascii="仿宋" w:hAnsi="仿宋" w:eastAsia="仿宋" w:cs="仿宋"/>
          <w:sz w:val="32"/>
          <w:szCs w:val="32"/>
          <w:lang w:eastAsia="zh-CN"/>
        </w:rPr>
        <w:t>评</w:t>
      </w:r>
      <w:r>
        <w:rPr>
          <w:rFonts w:hint="eastAsia" w:ascii="仿宋" w:hAnsi="仿宋" w:eastAsia="仿宋" w:cs="仿宋"/>
          <w:sz w:val="32"/>
          <w:szCs w:val="32"/>
        </w:rPr>
        <w:t>中出现信用扣分、不良行为</w:t>
      </w:r>
      <w:r>
        <w:rPr>
          <w:rFonts w:hint="eastAsia" w:ascii="仿宋" w:hAnsi="仿宋" w:eastAsia="仿宋" w:cs="仿宋"/>
          <w:sz w:val="32"/>
          <w:szCs w:val="32"/>
          <w:lang w:eastAsia="zh-CN"/>
        </w:rPr>
        <w:t>公告</w:t>
      </w:r>
      <w:r>
        <w:rPr>
          <w:rFonts w:hint="eastAsia" w:ascii="仿宋" w:hAnsi="仿宋" w:eastAsia="仿宋" w:cs="仿宋"/>
          <w:sz w:val="32"/>
          <w:szCs w:val="32"/>
        </w:rPr>
        <w:t>等处罚，将在项目结束</w:t>
      </w:r>
      <w:r>
        <w:rPr>
          <w:rFonts w:hint="eastAsia" w:ascii="仿宋" w:hAnsi="仿宋" w:eastAsia="仿宋" w:cs="仿宋"/>
          <w:sz w:val="32"/>
          <w:szCs w:val="32"/>
          <w:lang w:val="en-US" w:eastAsia="zh-CN"/>
        </w:rPr>
        <w:t>时</w:t>
      </w:r>
      <w:r>
        <w:rPr>
          <w:rFonts w:hint="eastAsia" w:ascii="仿宋" w:hAnsi="仿宋" w:eastAsia="仿宋" w:cs="仿宋"/>
          <w:sz w:val="32"/>
          <w:szCs w:val="32"/>
        </w:rPr>
        <w:t>予以撤销。</w:t>
      </w:r>
    </w:p>
    <w:p>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各建设单位可依据合同相关条款</w:t>
      </w:r>
      <w:r>
        <w:rPr>
          <w:rFonts w:hint="eastAsia" w:ascii="仿宋" w:hAnsi="仿宋" w:eastAsia="仿宋" w:cs="仿宋"/>
          <w:sz w:val="32"/>
          <w:szCs w:val="32"/>
        </w:rPr>
        <w:t>将考勤记录</w:t>
      </w:r>
      <w:r>
        <w:rPr>
          <w:rFonts w:hint="eastAsia" w:ascii="仿宋" w:hAnsi="仿宋" w:eastAsia="仿宋" w:cs="仿宋"/>
          <w:sz w:val="32"/>
          <w:szCs w:val="32"/>
          <w:lang w:val="en-US" w:eastAsia="zh-CN"/>
        </w:rPr>
        <w:t>作为资金支付和退还</w:t>
      </w:r>
      <w:r>
        <w:rPr>
          <w:rFonts w:hint="eastAsia" w:ascii="仿宋" w:hAnsi="仿宋" w:eastAsia="仿宋" w:cs="仿宋"/>
          <w:sz w:val="32"/>
          <w:szCs w:val="32"/>
        </w:rPr>
        <w:t>履约保证金</w:t>
      </w:r>
      <w:r>
        <w:rPr>
          <w:rFonts w:hint="eastAsia" w:ascii="仿宋" w:hAnsi="仿宋" w:eastAsia="仿宋" w:cs="仿宋"/>
          <w:sz w:val="32"/>
          <w:szCs w:val="32"/>
          <w:lang w:val="en-US" w:eastAsia="zh-CN"/>
        </w:rPr>
        <w:t>的重要依据</w:t>
      </w:r>
      <w:r>
        <w:rPr>
          <w:rFonts w:hint="eastAsia" w:ascii="仿宋" w:hAnsi="仿宋" w:eastAsia="仿宋" w:cs="仿宋"/>
          <w:sz w:val="32"/>
          <w:szCs w:val="32"/>
        </w:rPr>
        <w:t>。</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七、其他</w:t>
      </w:r>
    </w:p>
    <w:p>
      <w:pPr>
        <w:ind w:firstLine="640" w:firstLineChars="200"/>
        <w:rPr>
          <w:rFonts w:ascii="仿宋" w:hAnsi="仿宋" w:eastAsia="仿宋" w:cs="仿宋"/>
          <w:sz w:val="32"/>
          <w:szCs w:val="32"/>
        </w:rPr>
      </w:pPr>
      <w:r>
        <w:rPr>
          <w:rFonts w:hint="eastAsia" w:ascii="仿宋" w:hAnsi="仿宋" w:eastAsia="仿宋" w:cs="仿宋"/>
          <w:sz w:val="32"/>
          <w:szCs w:val="32"/>
        </w:rPr>
        <w:t>1、项目建设单位应在招标文件和合同中约定</w:t>
      </w:r>
      <w:r>
        <w:rPr>
          <w:rFonts w:hint="eastAsia" w:ascii="仿宋" w:hAnsi="仿宋" w:eastAsia="仿宋" w:cs="仿宋"/>
          <w:sz w:val="32"/>
          <w:szCs w:val="32"/>
          <w:lang w:val="en-US" w:eastAsia="zh-CN"/>
        </w:rPr>
        <w:t>本项目</w:t>
      </w:r>
      <w:r>
        <w:rPr>
          <w:rFonts w:hint="eastAsia" w:ascii="仿宋" w:hAnsi="仿宋" w:eastAsia="仿宋" w:cs="仿宋"/>
          <w:sz w:val="32"/>
          <w:szCs w:val="32"/>
        </w:rPr>
        <w:t>纳入考勤的人员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月</w:t>
      </w:r>
      <w:r>
        <w:rPr>
          <w:rFonts w:hint="eastAsia" w:ascii="仿宋" w:hAnsi="仿宋" w:eastAsia="仿宋" w:cs="仿宋"/>
          <w:sz w:val="32"/>
          <w:szCs w:val="32"/>
        </w:rPr>
        <w:t>考勤合格率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整体考勤合格率（60%）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实行标后履诺考评</w:t>
      </w:r>
      <w:r>
        <w:rPr>
          <w:rFonts w:hint="eastAsia" w:ascii="仿宋" w:hAnsi="仿宋" w:eastAsia="仿宋" w:cs="仿宋"/>
          <w:sz w:val="32"/>
          <w:szCs w:val="32"/>
        </w:rPr>
        <w:t>的</w:t>
      </w:r>
      <w:r>
        <w:rPr>
          <w:rFonts w:hint="eastAsia" w:ascii="仿宋" w:hAnsi="仿宋" w:eastAsia="仿宋" w:cs="仿宋"/>
          <w:sz w:val="32"/>
          <w:szCs w:val="32"/>
          <w:lang w:eastAsia="zh-CN"/>
        </w:rPr>
        <w:t>工程建设</w:t>
      </w:r>
      <w:r>
        <w:rPr>
          <w:rFonts w:hint="eastAsia" w:ascii="仿宋" w:hAnsi="仿宋" w:eastAsia="仿宋" w:cs="仿宋"/>
          <w:sz w:val="32"/>
          <w:szCs w:val="32"/>
        </w:rPr>
        <w:t>项目,</w:t>
      </w:r>
      <w:r>
        <w:rPr>
          <w:rFonts w:hint="eastAsia" w:ascii="仿宋" w:hAnsi="仿宋" w:eastAsia="仿宋" w:cs="仿宋"/>
          <w:sz w:val="32"/>
          <w:szCs w:val="32"/>
          <w:lang w:eastAsia="zh-CN"/>
        </w:rPr>
        <w:t>中标单位在项目开工</w:t>
      </w:r>
      <w:r>
        <w:rPr>
          <w:rFonts w:hint="eastAsia" w:ascii="仿宋" w:hAnsi="仿宋" w:eastAsia="仿宋" w:cs="仿宋"/>
          <w:sz w:val="32"/>
          <w:szCs w:val="32"/>
        </w:rPr>
        <w:t>前，应组织关键位人员携身份证等相关证件到县公管办进行考勤人员信息录入备案</w:t>
      </w:r>
      <w:r>
        <w:rPr>
          <w:rFonts w:hint="eastAsia" w:ascii="仿宋" w:hAnsi="仿宋" w:eastAsia="仿宋" w:cs="仿宋"/>
          <w:sz w:val="32"/>
          <w:szCs w:val="32"/>
          <w:lang w:eastAsia="zh-CN"/>
        </w:rPr>
        <w:t>，并租用考勤设备</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3、项目开工时,施工</w:t>
      </w:r>
      <w:r>
        <w:rPr>
          <w:rFonts w:hint="eastAsia" w:ascii="仿宋" w:hAnsi="仿宋" w:eastAsia="仿宋" w:cs="仿宋"/>
          <w:sz w:val="32"/>
          <w:szCs w:val="32"/>
          <w:lang w:eastAsia="zh-CN"/>
        </w:rPr>
        <w:t>、</w:t>
      </w:r>
      <w:r>
        <w:rPr>
          <w:rFonts w:hint="eastAsia" w:ascii="仿宋" w:hAnsi="仿宋" w:eastAsia="仿宋" w:cs="仿宋"/>
          <w:sz w:val="32"/>
          <w:szCs w:val="32"/>
        </w:rPr>
        <w:t>监理</w:t>
      </w:r>
      <w:r>
        <w:rPr>
          <w:rFonts w:hint="eastAsia" w:ascii="仿宋" w:hAnsi="仿宋" w:eastAsia="仿宋" w:cs="仿宋"/>
          <w:sz w:val="32"/>
          <w:szCs w:val="32"/>
          <w:lang w:eastAsia="zh-CN"/>
        </w:rPr>
        <w:t>单位</w:t>
      </w:r>
      <w:r>
        <w:rPr>
          <w:rFonts w:hint="eastAsia" w:ascii="仿宋" w:hAnsi="仿宋" w:eastAsia="仿宋" w:cs="仿宋"/>
          <w:sz w:val="32"/>
          <w:szCs w:val="32"/>
        </w:rPr>
        <w:t>应主动联系县公管办,开启定位考勤</w:t>
      </w:r>
      <w:r>
        <w:rPr>
          <w:rFonts w:hint="eastAsia" w:ascii="仿宋" w:hAnsi="仿宋" w:eastAsia="仿宋" w:cs="仿宋"/>
          <w:sz w:val="32"/>
          <w:szCs w:val="32"/>
          <w:lang w:eastAsia="zh-CN"/>
        </w:rPr>
        <w:t>系统</w:t>
      </w:r>
      <w:r>
        <w:rPr>
          <w:rFonts w:hint="eastAsia" w:ascii="仿宋" w:hAnsi="仿宋" w:eastAsia="仿宋" w:cs="仿宋"/>
          <w:sz w:val="32"/>
          <w:szCs w:val="32"/>
        </w:rPr>
        <w:t>;完工后,</w:t>
      </w:r>
      <w:r>
        <w:rPr>
          <w:rFonts w:hint="eastAsia" w:ascii="仿宋" w:hAnsi="仿宋" w:eastAsia="仿宋" w:cs="仿宋"/>
          <w:sz w:val="32"/>
          <w:szCs w:val="32"/>
          <w:lang w:eastAsia="zh-CN"/>
        </w:rPr>
        <w:t>应及时</w:t>
      </w:r>
      <w:r>
        <w:rPr>
          <w:rFonts w:hint="eastAsia" w:ascii="仿宋" w:hAnsi="仿宋" w:eastAsia="仿宋" w:cs="仿宋"/>
          <w:sz w:val="32"/>
          <w:szCs w:val="32"/>
        </w:rPr>
        <w:t>报送完工材料,终止考勤。</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建设单位和监理单位应认真做好施工现场的纸质考勤台账资料，公管办将会同各行业主管部门进行不定期抽查。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5、建设单位</w:t>
      </w:r>
      <w:r>
        <w:rPr>
          <w:rFonts w:hint="eastAsia" w:ascii="仿宋" w:hAnsi="仿宋" w:eastAsia="仿宋" w:cs="仿宋"/>
          <w:sz w:val="32"/>
          <w:szCs w:val="32"/>
          <w:lang w:eastAsia="zh-CN"/>
        </w:rPr>
        <w:t>和行业主管部门</w:t>
      </w:r>
      <w:r>
        <w:rPr>
          <w:rFonts w:hint="eastAsia" w:ascii="仿宋" w:hAnsi="仿宋" w:eastAsia="仿宋" w:cs="仿宋"/>
          <w:sz w:val="32"/>
          <w:szCs w:val="32"/>
        </w:rPr>
        <w:t>可登录考勤系统随时查看项目考勤情况,发现到岗率明显不足等情况,应及时督促整改。</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附：工程建设项目关键岗位人员考勤配置参考标准</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3520" w:firstLineChars="1100"/>
        <w:rPr>
          <w:rFonts w:hint="eastAsia" w:ascii="仿宋" w:hAnsi="仿宋" w:eastAsia="仿宋" w:cs="仿宋"/>
          <w:sz w:val="32"/>
          <w:szCs w:val="32"/>
          <w:lang w:eastAsia="zh-CN"/>
        </w:rPr>
      </w:pPr>
      <w:r>
        <w:rPr>
          <w:rFonts w:hint="eastAsia" w:ascii="仿宋" w:hAnsi="仿宋" w:eastAsia="仿宋" w:cs="仿宋"/>
          <w:sz w:val="32"/>
          <w:szCs w:val="32"/>
          <w:lang w:eastAsia="zh-CN"/>
        </w:rPr>
        <w:t>安吉县公共资源交易管理办公室</w:t>
      </w:r>
    </w:p>
    <w:p>
      <w:pPr>
        <w:ind w:firstLine="4800" w:firstLineChars="15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2021年7月28</w:t>
      </w:r>
      <w:bookmarkStart w:id="0" w:name="_GoBack"/>
      <w:bookmarkEnd w:id="0"/>
      <w:r>
        <w:rPr>
          <w:rFonts w:hint="eastAsia" w:ascii="仿宋" w:hAnsi="仿宋" w:eastAsia="仿宋" w:cs="仿宋"/>
          <w:sz w:val="32"/>
          <w:szCs w:val="32"/>
          <w:lang w:val="en-US" w:eastAsia="zh-CN"/>
        </w:rPr>
        <w:t>日</w:t>
      </w:r>
    </w:p>
    <w:p/>
    <w:p/>
    <w:p/>
    <w:p/>
    <w:p/>
    <w:p/>
    <w:p/>
    <w:p/>
    <w:p/>
    <w:p/>
    <w:p/>
    <w:p/>
    <w:p/>
    <w:p>
      <w:pPr>
        <w:sectPr>
          <w:pgSz w:w="11906" w:h="16838"/>
          <w:pgMar w:top="1440" w:right="1800" w:bottom="1440" w:left="1800" w:header="851" w:footer="992" w:gutter="0"/>
          <w:cols w:space="425" w:num="1"/>
          <w:docGrid w:type="lines" w:linePitch="312" w:charSpace="0"/>
        </w:sectPr>
      </w:pPr>
    </w:p>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附件</w:t>
      </w:r>
    </w:p>
    <w:p>
      <w:p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工程建设项目关键岗位人员考勤配置参考标准</w:t>
      </w:r>
    </w:p>
    <w:tbl>
      <w:tblPr>
        <w:tblStyle w:val="3"/>
        <w:tblW w:w="14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1695"/>
        <w:gridCol w:w="1012"/>
        <w:gridCol w:w="507"/>
        <w:gridCol w:w="505"/>
        <w:gridCol w:w="1014"/>
        <w:gridCol w:w="1780"/>
        <w:gridCol w:w="1903"/>
        <w:gridCol w:w="1904"/>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385" w:type="dxa"/>
            <w:vMerge w:val="restart"/>
            <w:vAlign w:val="center"/>
          </w:tcPr>
          <w:p>
            <w:pPr>
              <w:jc w:val="center"/>
              <w:rPr>
                <w:rFonts w:hint="default" w:ascii="仿宋" w:hAnsi="仿宋" w:eastAsia="仿宋" w:cs="仿宋"/>
                <w:b/>
                <w:bCs/>
                <w:sz w:val="48"/>
                <w:szCs w:val="48"/>
                <w:vertAlign w:val="baseline"/>
                <w:lang w:val="en-US" w:eastAsia="zh-CN"/>
              </w:rPr>
            </w:pPr>
            <w:r>
              <w:rPr>
                <w:rFonts w:hint="eastAsia" w:ascii="仿宋" w:hAnsi="仿宋" w:eastAsia="仿宋" w:cs="仿宋"/>
                <w:b/>
                <w:bCs/>
                <w:sz w:val="30"/>
                <w:szCs w:val="30"/>
                <w:vertAlign w:val="baseline"/>
                <w:lang w:val="en-US" w:eastAsia="zh-CN"/>
              </w:rPr>
              <w:t>公开招标（交易）控制价</w:t>
            </w:r>
          </w:p>
        </w:tc>
        <w:tc>
          <w:tcPr>
            <w:tcW w:w="4733" w:type="dxa"/>
            <w:gridSpan w:val="5"/>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施工单位</w:t>
            </w:r>
          </w:p>
        </w:tc>
        <w:tc>
          <w:tcPr>
            <w:tcW w:w="5587" w:type="dxa"/>
            <w:gridSpan w:val="3"/>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监理单位</w:t>
            </w:r>
          </w:p>
        </w:tc>
        <w:tc>
          <w:tcPr>
            <w:tcW w:w="1533"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385" w:type="dxa"/>
            <w:vMerge w:val="continue"/>
            <w:vAlign w:val="center"/>
          </w:tcPr>
          <w:p>
            <w:pPr>
              <w:jc w:val="center"/>
              <w:rPr>
                <w:rFonts w:hint="eastAsia" w:ascii="仿宋" w:hAnsi="仿宋" w:eastAsia="仿宋" w:cs="仿宋"/>
                <w:b/>
                <w:bCs/>
                <w:sz w:val="48"/>
                <w:szCs w:val="48"/>
                <w:vertAlign w:val="baseline"/>
                <w:lang w:val="en-US" w:eastAsia="zh-CN"/>
              </w:rPr>
            </w:pPr>
          </w:p>
        </w:tc>
        <w:tc>
          <w:tcPr>
            <w:tcW w:w="1695"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人数</w:t>
            </w:r>
          </w:p>
        </w:tc>
        <w:tc>
          <w:tcPr>
            <w:tcW w:w="3038" w:type="dxa"/>
            <w:gridSpan w:val="4"/>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施工项目部岗位</w:t>
            </w:r>
          </w:p>
        </w:tc>
        <w:tc>
          <w:tcPr>
            <w:tcW w:w="1780"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人数</w:t>
            </w:r>
          </w:p>
        </w:tc>
        <w:tc>
          <w:tcPr>
            <w:tcW w:w="3807" w:type="dxa"/>
            <w:gridSpan w:val="2"/>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监理岗位</w:t>
            </w:r>
          </w:p>
        </w:tc>
        <w:tc>
          <w:tcPr>
            <w:tcW w:w="1533" w:type="dxa"/>
            <w:vMerge w:val="restart"/>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val="0"/>
                <w:bCs w:val="0"/>
                <w:sz w:val="24"/>
                <w:szCs w:val="24"/>
                <w:vertAlign w:val="baseline"/>
                <w:lang w:val="en-US" w:eastAsia="zh-CN"/>
              </w:rPr>
              <w:t>本标准仅供参考，建设单位可根据项目建设的需要设置相应岗位，并在招标文件及合同中予以约定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385"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400（含）-1000万元</w:t>
            </w:r>
          </w:p>
        </w:tc>
        <w:tc>
          <w:tcPr>
            <w:tcW w:w="1695"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038" w:type="dxa"/>
            <w:gridSpan w:val="4"/>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项目负责人</w:t>
            </w:r>
          </w:p>
        </w:tc>
        <w:tc>
          <w:tcPr>
            <w:tcW w:w="1780"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807" w:type="dxa"/>
            <w:gridSpan w:val="2"/>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总监</w:t>
            </w:r>
          </w:p>
        </w:tc>
        <w:tc>
          <w:tcPr>
            <w:tcW w:w="1533" w:type="dxa"/>
            <w:vMerge w:val="continue"/>
            <w:vAlign w:val="center"/>
          </w:tcPr>
          <w:p>
            <w:pPr>
              <w:jc w:val="center"/>
              <w:rPr>
                <w:rFonts w:hint="eastAsia" w:ascii="仿宋" w:hAnsi="仿宋" w:eastAsia="仿宋" w:cs="仿宋"/>
                <w:b/>
                <w:bCs/>
                <w:sz w:val="48"/>
                <w:szCs w:val="4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385"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1000-3000万元</w:t>
            </w:r>
          </w:p>
        </w:tc>
        <w:tc>
          <w:tcPr>
            <w:tcW w:w="1695"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519" w:type="dxa"/>
            <w:gridSpan w:val="2"/>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项目负责人</w:t>
            </w:r>
          </w:p>
        </w:tc>
        <w:tc>
          <w:tcPr>
            <w:tcW w:w="1519" w:type="dxa"/>
            <w:gridSpan w:val="2"/>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安全员</w:t>
            </w:r>
          </w:p>
        </w:tc>
        <w:tc>
          <w:tcPr>
            <w:tcW w:w="1780"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807" w:type="dxa"/>
            <w:gridSpan w:val="2"/>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总监</w:t>
            </w:r>
          </w:p>
        </w:tc>
        <w:tc>
          <w:tcPr>
            <w:tcW w:w="1533" w:type="dxa"/>
            <w:vMerge w:val="continue"/>
            <w:vAlign w:val="center"/>
          </w:tcPr>
          <w:p>
            <w:pPr>
              <w:jc w:val="center"/>
              <w:rPr>
                <w:rFonts w:hint="eastAsia" w:ascii="仿宋" w:hAnsi="仿宋" w:eastAsia="仿宋" w:cs="仿宋"/>
                <w:b/>
                <w:bCs/>
                <w:sz w:val="48"/>
                <w:szCs w:val="4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385"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3000万元以上</w:t>
            </w:r>
          </w:p>
        </w:tc>
        <w:tc>
          <w:tcPr>
            <w:tcW w:w="1695"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3-5</w:t>
            </w:r>
          </w:p>
        </w:tc>
        <w:tc>
          <w:tcPr>
            <w:tcW w:w="1012"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项目负责人</w:t>
            </w:r>
          </w:p>
        </w:tc>
        <w:tc>
          <w:tcPr>
            <w:tcW w:w="1012" w:type="dxa"/>
            <w:gridSpan w:val="2"/>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安全员</w:t>
            </w:r>
          </w:p>
        </w:tc>
        <w:tc>
          <w:tcPr>
            <w:tcW w:w="1014"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技术负责人或施工员或质检员</w:t>
            </w:r>
          </w:p>
        </w:tc>
        <w:tc>
          <w:tcPr>
            <w:tcW w:w="1780"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903"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总监</w:t>
            </w:r>
          </w:p>
        </w:tc>
        <w:tc>
          <w:tcPr>
            <w:tcW w:w="1904" w:type="dxa"/>
            <w:vAlign w:val="center"/>
          </w:tcPr>
          <w:p>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专业监理</w:t>
            </w:r>
          </w:p>
        </w:tc>
        <w:tc>
          <w:tcPr>
            <w:tcW w:w="1533" w:type="dxa"/>
            <w:vMerge w:val="continue"/>
            <w:vAlign w:val="center"/>
          </w:tcPr>
          <w:p>
            <w:pPr>
              <w:jc w:val="center"/>
              <w:rPr>
                <w:rFonts w:hint="eastAsia" w:ascii="仿宋" w:hAnsi="仿宋" w:eastAsia="仿宋" w:cs="仿宋"/>
                <w:b/>
                <w:bCs/>
                <w:sz w:val="48"/>
                <w:szCs w:val="48"/>
                <w:vertAlign w:val="baseline"/>
                <w:lang w:val="en-US" w:eastAsia="zh-CN"/>
              </w:rPr>
            </w:pPr>
          </w:p>
        </w:tc>
      </w:tr>
    </w:tbl>
    <w:p>
      <w:pPr>
        <w:jc w:val="both"/>
        <w:rPr>
          <w:rFonts w:hint="eastAsia" w:ascii="仿宋" w:hAnsi="仿宋" w:eastAsia="仿宋" w:cs="仿宋"/>
          <w:b/>
          <w:bCs/>
          <w:sz w:val="48"/>
          <w:szCs w:val="4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06"/>
    <w:rsid w:val="00062A39"/>
    <w:rsid w:val="000721F2"/>
    <w:rsid w:val="000A7A94"/>
    <w:rsid w:val="00123F5D"/>
    <w:rsid w:val="002C4569"/>
    <w:rsid w:val="003630AD"/>
    <w:rsid w:val="003F72C2"/>
    <w:rsid w:val="004C6D77"/>
    <w:rsid w:val="00575C05"/>
    <w:rsid w:val="005F0A5D"/>
    <w:rsid w:val="00636C06"/>
    <w:rsid w:val="008B6904"/>
    <w:rsid w:val="009057E5"/>
    <w:rsid w:val="00956603"/>
    <w:rsid w:val="009B6F0B"/>
    <w:rsid w:val="00A27C5F"/>
    <w:rsid w:val="00A45AE4"/>
    <w:rsid w:val="00AB00E1"/>
    <w:rsid w:val="00AB09B0"/>
    <w:rsid w:val="00B87734"/>
    <w:rsid w:val="00BE3B21"/>
    <w:rsid w:val="00C3419D"/>
    <w:rsid w:val="00CD7FB5"/>
    <w:rsid w:val="07B73EFA"/>
    <w:rsid w:val="07F87F2C"/>
    <w:rsid w:val="0A1F7EC5"/>
    <w:rsid w:val="0AB411E5"/>
    <w:rsid w:val="1B420B2B"/>
    <w:rsid w:val="1FE33A5B"/>
    <w:rsid w:val="22FB1DDB"/>
    <w:rsid w:val="272263E7"/>
    <w:rsid w:val="293C5216"/>
    <w:rsid w:val="2B3B301E"/>
    <w:rsid w:val="2EAB1A72"/>
    <w:rsid w:val="3AA36ADA"/>
    <w:rsid w:val="402644C0"/>
    <w:rsid w:val="42AA356A"/>
    <w:rsid w:val="4A751205"/>
    <w:rsid w:val="4C611A6C"/>
    <w:rsid w:val="4E8A0011"/>
    <w:rsid w:val="5023234C"/>
    <w:rsid w:val="57C755F3"/>
    <w:rsid w:val="57ED08CA"/>
    <w:rsid w:val="5A0D6785"/>
    <w:rsid w:val="5D681C67"/>
    <w:rsid w:val="5DDE5BCD"/>
    <w:rsid w:val="613F63B4"/>
    <w:rsid w:val="628D4EB3"/>
    <w:rsid w:val="63000C58"/>
    <w:rsid w:val="636C021F"/>
    <w:rsid w:val="67C7519B"/>
    <w:rsid w:val="6E1A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2107</Words>
  <Characters>81</Characters>
  <Lines>1</Lines>
  <Paragraphs>4</Paragraphs>
  <TotalTime>2</TotalTime>
  <ScaleCrop>false</ScaleCrop>
  <LinksUpToDate>false</LinksUpToDate>
  <CharactersWithSpaces>2184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2021-04-08T06:06:00Z</dcterms:created>
  <dc:creator>Administrator</dc:creator>
  <cp:lastModifiedBy>啊丁仔</cp:lastModifiedBy>
  <cp:lastPrinted>2021-04-16T06:44:00Z</cp:lastPrinted>
  <dcterms:modified xsi:type="dcterms:W3CDTF">2021-07-28T06:30:35Z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D49B3AEA72AE4F18931EF332B5D4B5F5</vt:lpwstr>
  </property>
</Properties>
</file>