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征求部门意见及采纳情况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说明</w:t>
      </w:r>
    </w:p>
    <w:bookmarkEnd w:id="0"/>
    <w:p>
      <w:pPr>
        <w:rPr>
          <w:rFonts w:hint="eastAsia"/>
          <w:lang w:val="en-US" w:eastAsia="zh-CN"/>
        </w:rPr>
      </w:pP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本办法已以书面形式征求市县（部门）意见，并于8月13日起在厅外网主动公开征求意见7个工作日，无反馈意见。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00775"/>
    <w:rsid w:val="5180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2021-09-08T10:22:00Z</dcterms:created>
  <dc:creator>张志华</dc:creator>
  <cp:lastModifiedBy>张志华</cp:lastModifiedBy>
  <dcterms:modified xsi:type="dcterms:W3CDTF">2021-09-08T10:23:15Z</dcterms:modified>
  <dc:title>征求部门意见及采纳情况说明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