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0"/>
        <w:rPr>
          <w:rFonts w:eastAsia="华文新魏"/>
          <w:b/>
          <w:spacing w:val="-70"/>
          <w:sz w:val="72"/>
          <w:szCs w:val="7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85725</wp:posOffset>
            </wp:positionV>
            <wp:extent cx="5205730" cy="3282315"/>
            <wp:effectExtent l="0" t="0" r="6350" b="0"/>
            <wp:wrapNone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80"/>
        <w:rPr>
          <w:rFonts w:eastAsia="华文新魏"/>
          <w:b/>
          <w:spacing w:val="-70"/>
          <w:sz w:val="72"/>
          <w:szCs w:val="72"/>
        </w:rPr>
      </w:pPr>
    </w:p>
    <w:p>
      <w:pPr>
        <w:pStyle w:val="80"/>
        <w:rPr>
          <w:rFonts w:eastAsia="华文新魏"/>
          <w:b/>
          <w:spacing w:val="-70"/>
          <w:sz w:val="72"/>
          <w:szCs w:val="72"/>
        </w:rPr>
      </w:pPr>
    </w:p>
    <w:p>
      <w:pPr>
        <w:pStyle w:val="80"/>
        <w:rPr>
          <w:rFonts w:eastAsia="华文新魏"/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安吉县公共资源交易执法系统升级项目产权交易</w:t>
      </w:r>
      <w:r>
        <w:rPr>
          <w:rFonts w:hint="eastAsia"/>
          <w:b/>
          <w:sz w:val="52"/>
          <w:szCs w:val="52"/>
          <w:lang w:val="en-US" w:eastAsia="zh-CN"/>
        </w:rPr>
        <w:t>竞买人</w:t>
      </w:r>
      <w:r>
        <w:rPr>
          <w:rFonts w:hint="eastAsia"/>
          <w:b/>
          <w:sz w:val="52"/>
          <w:szCs w:val="52"/>
        </w:rPr>
        <w:t>操作手册</w:t>
      </w: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8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</w:instrText>
      </w:r>
      <w:r>
        <w:rPr>
          <w:rFonts w:ascii="Calibri" w:hAnsi="Calibri"/>
        </w:rPr>
        <w:fldChar w:fldCharType="separate"/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\l _Toc20643 </w:instrText>
      </w:r>
      <w:r>
        <w:rPr>
          <w:rFonts w:ascii="Calibri" w:hAnsi="Calibri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_Toc20643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_Toc7129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_Toc7129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_Toc8696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_Toc8696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_Toc17288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1.2、 </w:t>
      </w:r>
      <w:r>
        <w:t>检测工具</w:t>
      </w:r>
      <w:r>
        <w:tab/>
      </w:r>
      <w:r>
        <w:fldChar w:fldCharType="begin"/>
      </w:r>
      <w:r>
        <w:instrText xml:space="preserve"> PAGEREF _Toc17288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_Toc16770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1.2.1、 </w:t>
      </w:r>
      <w:r>
        <w:t>启动检测工具</w:t>
      </w:r>
      <w:r>
        <w:tab/>
      </w:r>
      <w:r>
        <w:fldChar w:fldCharType="begin"/>
      </w:r>
      <w:r>
        <w:instrText xml:space="preserve"> PAGEREF _Toc16770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_Toc25672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1.2.2、 </w:t>
      </w:r>
      <w:r>
        <w:t>系统检测</w:t>
      </w:r>
      <w:r>
        <w:tab/>
      </w:r>
      <w:r>
        <w:fldChar w:fldCharType="begin"/>
      </w:r>
      <w:r>
        <w:instrText xml:space="preserve"> PAGEREF _Toc25672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_Toc6089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1.2.3、 </w:t>
      </w:r>
      <w:r>
        <w:t>证书检测</w:t>
      </w:r>
      <w:r>
        <w:tab/>
      </w:r>
      <w:r>
        <w:fldChar w:fldCharType="begin"/>
      </w:r>
      <w:r>
        <w:instrText xml:space="preserve"> PAGEREF _Toc6089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_Toc5111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1.2.4、 </w:t>
      </w:r>
      <w:r>
        <w:t>签章检测</w:t>
      </w:r>
      <w:r>
        <w:tab/>
      </w:r>
      <w:r>
        <w:fldChar w:fldCharType="begin"/>
      </w:r>
      <w:r>
        <w:instrText xml:space="preserve"> PAGEREF _Toc5111 </w:instrText>
      </w:r>
      <w:r>
        <w:fldChar w:fldCharType="separate"/>
      </w:r>
      <w:r>
        <w:t>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_Toc23754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_Toc23754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_Toc1519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1.3.1、 </w:t>
      </w:r>
      <w:r>
        <w:t>Internet选项</w:t>
      </w:r>
      <w:r>
        <w:tab/>
      </w:r>
      <w:r>
        <w:fldChar w:fldCharType="begin"/>
      </w:r>
      <w:r>
        <w:instrText xml:space="preserve"> PAGEREF _Toc1519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_Toc3219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1.3.2、 </w:t>
      </w:r>
      <w:r>
        <w:t>关闭拦截工具</w:t>
      </w:r>
      <w:r>
        <w:tab/>
      </w:r>
      <w:r>
        <w:fldChar w:fldCharType="begin"/>
      </w:r>
      <w:r>
        <w:instrText xml:space="preserve"> PAGEREF _Toc3219 </w:instrText>
      </w:r>
      <w:r>
        <w:fldChar w:fldCharType="separate"/>
      </w:r>
      <w:r>
        <w:t>11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8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_Toc2970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产权交易电子竞价系统</w:t>
      </w:r>
      <w:r>
        <w:tab/>
      </w:r>
      <w:r>
        <w:fldChar w:fldCharType="begin"/>
      </w:r>
      <w:r>
        <w:instrText xml:space="preserve"> PAGEREF _Toc2970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_Toc18976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2.1、 </w:t>
      </w:r>
      <w:r>
        <w:rPr>
          <w:rFonts w:hint="eastAsia"/>
        </w:rPr>
        <w:t>登录系统</w:t>
      </w:r>
      <w:r>
        <w:tab/>
      </w:r>
      <w:r>
        <w:fldChar w:fldCharType="begin"/>
      </w:r>
      <w:r>
        <w:instrText xml:space="preserve"> PAGEREF _Toc18976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_Toc15987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2.2、 </w:t>
      </w:r>
      <w:r>
        <w:rPr>
          <w:rFonts w:hint="eastAsia"/>
          <w:lang w:val="en-US" w:eastAsia="zh-CN"/>
        </w:rPr>
        <w:t>招标公告</w:t>
      </w:r>
      <w:r>
        <w:tab/>
      </w:r>
      <w:r>
        <w:fldChar w:fldCharType="begin"/>
      </w:r>
      <w:r>
        <w:instrText xml:space="preserve"> PAGEREF _Toc15987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_Toc27065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2.2.1、 </w:t>
      </w:r>
      <w:r>
        <w:rPr>
          <w:rFonts w:hint="eastAsia"/>
          <w:lang w:val="en-US" w:eastAsia="zh-CN"/>
        </w:rPr>
        <w:t>我要报名</w:t>
      </w:r>
      <w:r>
        <w:tab/>
      </w:r>
      <w:r>
        <w:fldChar w:fldCharType="begin"/>
      </w:r>
      <w:r>
        <w:instrText xml:space="preserve"> PAGEREF _Toc27065 </w:instrText>
      </w:r>
      <w:r>
        <w:fldChar w:fldCharType="separate"/>
      </w:r>
      <w:r>
        <w:t>12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_Toc18263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2.3、 </w:t>
      </w:r>
      <w:r>
        <w:rPr>
          <w:rFonts w:hint="eastAsia"/>
          <w:lang w:val="en-US" w:eastAsia="zh-CN"/>
        </w:rPr>
        <w:t>我的项目</w:t>
      </w:r>
      <w:r>
        <w:tab/>
      </w:r>
      <w:r>
        <w:fldChar w:fldCharType="begin"/>
      </w:r>
      <w:r>
        <w:instrText xml:space="preserve"> PAGEREF _Toc18263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_Toc26526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2.3.1、 </w:t>
      </w:r>
      <w:r>
        <w:rPr>
          <w:rFonts w:hint="eastAsia"/>
          <w:lang w:val="en-US" w:eastAsia="zh-CN"/>
        </w:rPr>
        <w:t>我要报价</w:t>
      </w:r>
      <w:r>
        <w:tab/>
      </w:r>
      <w:r>
        <w:fldChar w:fldCharType="begin"/>
      </w:r>
      <w:r>
        <w:instrText xml:space="preserve"> PAGEREF _Toc26526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_Toc5394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</w:rPr>
        <w:t xml:space="preserve">2.3.2、 </w:t>
      </w:r>
      <w:r>
        <w:rPr>
          <w:rFonts w:hint="eastAsia"/>
          <w:lang w:val="en-US" w:eastAsia="zh-CN"/>
        </w:rPr>
        <w:t>报价历史</w:t>
      </w:r>
      <w:r>
        <w:tab/>
      </w:r>
      <w:r>
        <w:fldChar w:fldCharType="begin"/>
      </w:r>
      <w:r>
        <w:instrText xml:space="preserve"> PAGEREF _Toc5394 </w:instrText>
      </w:r>
      <w:r>
        <w:fldChar w:fldCharType="separate"/>
      </w:r>
      <w:r>
        <w:t>20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56"/>
        <w:spacing w:line="240" w:lineRule="auto"/>
        <w:ind w:firstLine="360"/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pStyle w:val="2"/>
      </w:pPr>
      <w:bookmarkStart w:id="0" w:name="_Toc404764406"/>
      <w:bookmarkStart w:id="1" w:name="_Toc404765182"/>
      <w:bookmarkStart w:id="2" w:name="_Toc192"/>
      <w:bookmarkStart w:id="3" w:name="_Toc346701609"/>
      <w:bookmarkStart w:id="4" w:name="_Toc404243487"/>
      <w:bookmarkStart w:id="5" w:name="_Toc346183627"/>
      <w:bookmarkStart w:id="6" w:name="_Toc20643"/>
      <w:bookmarkStart w:id="7" w:name="_Toc225152729"/>
      <w: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</w:pPr>
      <w:bookmarkStart w:id="8" w:name="_Toc24212"/>
      <w:bookmarkStart w:id="9" w:name="_Toc404780463"/>
      <w:bookmarkStart w:id="10" w:name="_Toc7129"/>
      <w:r>
        <w:t>驱动安装说明</w:t>
      </w:r>
      <w:bookmarkEnd w:id="8"/>
      <w:bookmarkEnd w:id="9"/>
      <w:bookmarkEnd w:id="10"/>
    </w:p>
    <w:p>
      <w:pPr>
        <w:pStyle w:val="4"/>
      </w:pPr>
      <w:bookmarkStart w:id="11" w:name="_Toc404780464"/>
      <w:bookmarkStart w:id="12" w:name="_Toc18417"/>
      <w:bookmarkStart w:id="13" w:name="_Toc8696"/>
      <w:r>
        <w:t>安装驱动程序</w:t>
      </w:r>
      <w:bookmarkEnd w:id="11"/>
      <w:bookmarkEnd w:id="12"/>
      <w:bookmarkEnd w:id="13"/>
    </w:p>
    <w:p>
      <w:r>
        <w:t>1、双击安装程序</w:t>
      </w:r>
      <w:r>
        <w:drawing>
          <wp:inline distT="0" distB="0" distL="114300" distR="114300">
            <wp:extent cx="670560" cy="784860"/>
            <wp:effectExtent l="0" t="0" r="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</w:rPr>
        <w:t>，</w:t>
      </w:r>
      <w:r>
        <w:t>如下图：</w:t>
      </w:r>
    </w:p>
    <w:p>
      <w:pPr>
        <w:autoSpaceDE w:val="0"/>
        <w:autoSpaceDN w:val="0"/>
        <w:adjustRightInd w:val="0"/>
        <w:ind w:left="0" w:leftChars="0" w:right="-20" w:firstLine="0" w:firstLineChars="0"/>
        <w:jc w:val="both"/>
        <w:rPr>
          <w:spacing w:val="4"/>
        </w:rPr>
      </w:pPr>
      <w:r>
        <w:drawing>
          <wp:inline distT="0" distB="0" distL="114300" distR="114300">
            <wp:extent cx="5274945" cy="3959860"/>
            <wp:effectExtent l="0" t="0" r="13335" b="25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2、点击</w:t>
      </w:r>
      <w:r>
        <w:rPr>
          <w:rFonts w:hint="eastAsia"/>
          <w:lang w:val="en-US" w:eastAsia="zh-CN"/>
        </w:rPr>
        <w:t>快速安装</w:t>
      </w:r>
      <w:r>
        <w:t>，进入</w:t>
      </w:r>
      <w:r>
        <w:rPr>
          <w:rFonts w:hint="eastAsia"/>
          <w:lang w:val="en-US" w:eastAsia="zh-CN"/>
        </w:rPr>
        <w:t>安装</w:t>
      </w:r>
      <w:r>
        <w:t>页面</w:t>
      </w:r>
      <w:r>
        <w:rPr>
          <w:rFonts w:hint="eastAsia"/>
        </w:rPr>
        <w:t>，</w:t>
      </w:r>
      <w:r>
        <w:t>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4945" cy="3959860"/>
            <wp:effectExtent l="0" t="0" r="13335" b="254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3</w:t>
      </w:r>
      <w:r>
        <w:t>、</w:t>
      </w:r>
      <w:r>
        <w:rPr>
          <w:rFonts w:hint="eastAsia"/>
          <w:lang w:val="en-US" w:eastAsia="zh-CN"/>
        </w:rPr>
        <w:t>完成</w:t>
      </w:r>
      <w:r>
        <w:t>后，</w:t>
      </w:r>
      <w:r>
        <w:rPr>
          <w:rFonts w:hint="eastAsia"/>
          <w:lang w:val="en-US" w:eastAsia="zh-CN"/>
        </w:rPr>
        <w:t>显示</w:t>
      </w:r>
      <w:r>
        <w:t>驱动安装成功</w:t>
      </w:r>
      <w:r>
        <w:rPr>
          <w:rFonts w:hint="eastAsia"/>
        </w:rPr>
        <w:t>，</w:t>
      </w:r>
      <w:r>
        <w:t>如下图：</w:t>
      </w:r>
    </w:p>
    <w:p>
      <w:pPr>
        <w:pStyle w:val="56"/>
        <w:ind w:left="0" w:leftChars="0" w:firstLine="0" w:firstLineChars="0"/>
        <w:jc w:val="both"/>
        <w:rPr>
          <w:b/>
          <w:spacing w:val="4"/>
        </w:rPr>
      </w:pPr>
      <w:r>
        <w:drawing>
          <wp:inline distT="0" distB="0" distL="114300" distR="114300">
            <wp:extent cx="5274945" cy="3959860"/>
            <wp:effectExtent l="0" t="0" r="13335" b="254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20739"/>
      <w:bookmarkStart w:id="15" w:name="_Toc404780468"/>
      <w:bookmarkStart w:id="16" w:name="_Toc17288"/>
      <w:r>
        <w:t>检测工具</w:t>
      </w:r>
      <w:bookmarkEnd w:id="14"/>
      <w:bookmarkEnd w:id="15"/>
      <w:bookmarkEnd w:id="16"/>
    </w:p>
    <w:p>
      <w:pPr>
        <w:pStyle w:val="4"/>
        <w:widowControl/>
        <w:tabs>
          <w:tab w:val="clear" w:pos="567"/>
        </w:tabs>
      </w:pPr>
      <w:bookmarkStart w:id="17" w:name="_Toc15681"/>
      <w:bookmarkStart w:id="18" w:name="_Toc404780469"/>
      <w:bookmarkStart w:id="19" w:name="_Toc16770"/>
      <w:r>
        <w:t>启动检测工具</w:t>
      </w:r>
      <w:bookmarkEnd w:id="17"/>
      <w:bookmarkEnd w:id="18"/>
      <w:bookmarkEnd w:id="19"/>
    </w:p>
    <w:p>
      <w:r>
        <w:t>用户可以点击桌面上的检测工具图标来启动</w:t>
      </w:r>
      <w:r>
        <w:rPr>
          <w:rFonts w:hint="eastAsia"/>
          <w:lang w:val="en-US" w:eastAsia="zh-CN"/>
        </w:rPr>
        <w:t>浙江安吉新点证书助手</w:t>
      </w:r>
      <w:r>
        <w:t>工具</w:t>
      </w:r>
      <w:r>
        <w:rPr>
          <w:rFonts w:hint="eastAsia"/>
        </w:rPr>
        <w:t>，</w:t>
      </w:r>
      <w:r>
        <w:t>如下图：</w:t>
      </w:r>
    </w:p>
    <w:p>
      <w:pPr>
        <w:pStyle w:val="56"/>
        <w:ind w:firstLine="480" w:firstLineChars="200"/>
        <w:jc w:val="center"/>
        <w:rPr>
          <w:b/>
          <w:spacing w:val="4"/>
        </w:rPr>
      </w:pPr>
      <w:r>
        <w:drawing>
          <wp:inline distT="0" distB="0" distL="114300" distR="114300">
            <wp:extent cx="701040" cy="822960"/>
            <wp:effectExtent l="0" t="0" r="0" b="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</w:pPr>
      <w:bookmarkStart w:id="20" w:name="_Toc404780470"/>
      <w:bookmarkStart w:id="21" w:name="_Toc7512"/>
      <w:bookmarkStart w:id="22" w:name="_Toc25672"/>
      <w:r>
        <w:t>系统检测</w:t>
      </w:r>
      <w:bookmarkEnd w:id="20"/>
      <w:bookmarkEnd w:id="21"/>
      <w:bookmarkEnd w:id="22"/>
    </w:p>
    <w:p>
      <w:pPr>
        <w:pStyle w:val="56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0500" cy="3325495"/>
            <wp:effectExtent l="0" t="0" r="2540" b="1206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pacing w:val="4"/>
          <w:sz w:val="21"/>
        </w:rPr>
      </w:pPr>
      <w:r>
        <w:t>该页面主要是进行</w:t>
      </w:r>
      <w:r>
        <w:rPr>
          <w:rFonts w:hint="eastAsia"/>
          <w:lang w:val="en-US" w:eastAsia="zh-CN"/>
        </w:rPr>
        <w:t>控件检测和系统检测</w:t>
      </w:r>
      <w:r>
        <w:t>的设置。</w:t>
      </w:r>
    </w:p>
    <w:p>
      <w:pPr>
        <w:pStyle w:val="4"/>
        <w:widowControl/>
        <w:tabs>
          <w:tab w:val="clear" w:pos="567"/>
        </w:tabs>
      </w:pPr>
      <w:bookmarkStart w:id="23" w:name="_Toc7440"/>
      <w:bookmarkStart w:id="24" w:name="_Toc404780472"/>
      <w:bookmarkStart w:id="25" w:name="_Toc6089"/>
      <w:r>
        <w:t>证书检测</w:t>
      </w:r>
      <w:bookmarkEnd w:id="23"/>
      <w:bookmarkEnd w:id="24"/>
      <w:bookmarkEnd w:id="25"/>
    </w:p>
    <w:p>
      <w:pPr>
        <w:pStyle w:val="56"/>
        <w:ind w:left="0" w:leftChars="0" w:firstLine="0" w:firstLineChars="0"/>
        <w:jc w:val="both"/>
        <w:rPr>
          <w:b/>
          <w:spacing w:val="4"/>
          <w:sz w:val="21"/>
        </w:rPr>
      </w:pPr>
      <w:r>
        <w:drawing>
          <wp:inline distT="0" distB="0" distL="114300" distR="114300">
            <wp:extent cx="5270500" cy="3325495"/>
            <wp:effectExtent l="0" t="0" r="2540" b="1206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spacing w:val="4"/>
        </w:rPr>
      </w:pPr>
      <w:r>
        <w:rPr>
          <w:rFonts w:hint="eastAsia"/>
          <w:lang w:val="en-US" w:eastAsia="zh-CN"/>
        </w:rPr>
        <w:t>用户插入CA锁后，可以显示签名证书的相关信息。</w:t>
      </w:r>
    </w:p>
    <w:p>
      <w:pPr>
        <w:pStyle w:val="4"/>
        <w:widowControl/>
        <w:tabs>
          <w:tab w:val="clear" w:pos="567"/>
        </w:tabs>
      </w:pPr>
      <w:bookmarkStart w:id="26" w:name="_Toc21152"/>
      <w:bookmarkStart w:id="27" w:name="_Toc404780473"/>
      <w:bookmarkStart w:id="28" w:name="_Toc5111"/>
      <w:r>
        <w:t>签章检测</w:t>
      </w:r>
      <w:bookmarkEnd w:id="26"/>
      <w:bookmarkEnd w:id="27"/>
      <w:bookmarkEnd w:id="28"/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69865" cy="3310890"/>
            <wp:effectExtent l="0" t="0" r="3175" b="1143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此页面是用于测试证书Key是否可以正常盖章，请点击</w:t>
      </w:r>
      <w:r>
        <w:drawing>
          <wp:inline distT="0" distB="0" distL="0" distR="0">
            <wp:extent cx="285750" cy="295275"/>
            <wp:effectExtent l="0" t="0" r="3810" b="9525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，在出现的窗口中，选择签章的名称和签章的模式，并输入您的证书Key的密码，点击确定按钮</w:t>
      </w:r>
      <w:r>
        <w:rPr>
          <w:rFonts w:hint="eastAsia"/>
        </w:rPr>
        <w:t>，</w:t>
      </w:r>
      <w:r>
        <w:t>如下图：</w:t>
      </w:r>
    </w:p>
    <w:p>
      <w:pPr>
        <w:pStyle w:val="56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343150" cy="2838450"/>
            <wp:effectExtent l="0" t="0" r="3810" b="11430"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如果能成功加盖印章，并且有勾显示，则证明您的证书Key没有问题</w:t>
      </w:r>
      <w:r>
        <w:rPr>
          <w:rFonts w:hint="eastAsia"/>
        </w:rPr>
        <w:t>，</w:t>
      </w:r>
      <w:r>
        <w:t>如下图：</w:t>
      </w:r>
    </w:p>
    <w:p>
      <w:pPr>
        <w:pStyle w:val="56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819400" cy="1143000"/>
            <wp:effectExtent l="0" t="0" r="0" b="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4"/>
        </w:rPr>
      </w:pPr>
      <w:r>
        <w:t>如果出现其他的提示，请及时和该项目CA联系</w:t>
      </w:r>
      <w:r>
        <w:rPr>
          <w:rFonts w:hint="eastAsia"/>
        </w:rPr>
        <w:t>。</w:t>
      </w:r>
    </w:p>
    <w:p>
      <w:pPr>
        <w:pStyle w:val="3"/>
      </w:pPr>
      <w:bookmarkStart w:id="29" w:name="_Toc5561"/>
      <w:bookmarkStart w:id="30" w:name="_Toc404243499"/>
      <w:bookmarkStart w:id="31" w:name="_Toc346183639"/>
      <w:bookmarkStart w:id="32" w:name="_Toc346701621"/>
      <w:bookmarkStart w:id="33" w:name="_Toc404765194"/>
      <w:bookmarkStart w:id="34" w:name="_Toc404764418"/>
      <w:bookmarkStart w:id="35" w:name="_Toc23754"/>
      <w:r>
        <w:t>浏览器配置</w:t>
      </w:r>
      <w:bookmarkEnd w:id="29"/>
      <w:bookmarkEnd w:id="30"/>
      <w:bookmarkEnd w:id="31"/>
      <w:bookmarkEnd w:id="32"/>
      <w:bookmarkEnd w:id="33"/>
      <w:bookmarkEnd w:id="34"/>
      <w:bookmarkEnd w:id="35"/>
    </w:p>
    <w:p>
      <w:pPr>
        <w:pStyle w:val="4"/>
        <w:widowControl/>
      </w:pPr>
      <w:bookmarkStart w:id="36" w:name="_Toc20664"/>
      <w:bookmarkStart w:id="37" w:name="_Toc27551"/>
      <w:bookmarkStart w:id="38" w:name="_Toc28051"/>
      <w:bookmarkStart w:id="39" w:name="_Toc23363"/>
      <w:bookmarkStart w:id="40" w:name="_Toc1519"/>
      <w:r>
        <w:t>Internet选项</w:t>
      </w:r>
      <w:bookmarkEnd w:id="36"/>
      <w:bookmarkEnd w:id="37"/>
      <w:bookmarkEnd w:id="38"/>
      <w:bookmarkEnd w:id="39"/>
      <w:bookmarkEnd w:id="40"/>
    </w:p>
    <w:p>
      <w:r>
        <w:t>为了让系统插件能够正常工作，请按照以下步骤进行浏览器的配置。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1、</w:t>
      </w:r>
      <w:r>
        <w:t>打开浏览器，在“工具”菜单→</w:t>
      </w:r>
      <w:r>
        <w:rPr>
          <w:rFonts w:hint="eastAsia"/>
        </w:rPr>
        <w:t>“兼容性视图设置”</w:t>
      </w:r>
      <w:r>
        <w:t>“Internet选项”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4000500" cy="3459480"/>
            <wp:effectExtent l="0" t="0" r="7620" b="0"/>
            <wp:docPr id="4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</w:p>
    <w:p>
      <w:pPr>
        <w:numPr>
          <w:ilvl w:val="0"/>
          <w:numId w:val="0"/>
        </w:numPr>
        <w:spacing w:line="360" w:lineRule="auto"/>
        <w:ind w:firstLine="420" w:firstLineChars="200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弹出兼容性视图对话框后，点击“添加”按钮，如下图：</w:t>
      </w:r>
    </w:p>
    <w:p>
      <w:r>
        <w:drawing>
          <wp:inline distT="0" distB="0" distL="114300" distR="114300">
            <wp:extent cx="2828290" cy="3485515"/>
            <wp:effectExtent l="0" t="0" r="6350" b="444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3、打开浏览器，在</w:t>
      </w:r>
      <w:r>
        <w:t>“工具”菜单→“Internet选项”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rPr>
          <w:spacing w:val="4"/>
        </w:rPr>
        <w:drawing>
          <wp:inline distT="0" distB="0" distL="0" distR="0">
            <wp:extent cx="3190875" cy="2824480"/>
            <wp:effectExtent l="0" t="0" r="9525" b="10160"/>
            <wp:docPr id="6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4、</w:t>
      </w:r>
      <w:r>
        <w:t>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11430" b="13335"/>
            <wp:docPr id="6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5</w:t>
      </w:r>
      <w:r>
        <w:t>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0" t="0" r="9525" b="5715"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6</w:t>
      </w:r>
      <w:r>
        <w:t>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drawing>
          <wp:inline distT="0" distB="0" distL="114300" distR="114300">
            <wp:extent cx="3116580" cy="2871470"/>
            <wp:effectExtent l="0" t="0" r="7620" b="889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输入系统服务器的IP地址，格式例如：</w:t>
      </w:r>
      <w:r>
        <w:rPr>
          <w:rFonts w:hint="eastAsia"/>
          <w:lang w:val="en-US" w:eastAsia="zh-CN"/>
        </w:rPr>
        <w:t>http://123.153.1.165</w:t>
      </w:r>
      <w:r>
        <w:t>，然后点击“添加”按钮完成添加，再按“关闭”按钮退出。</w:t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7</w:t>
      </w:r>
      <w:r>
        <w:t>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rPr>
          <w:spacing w:val="4"/>
        </w:rPr>
        <w:drawing>
          <wp:inline distT="0" distB="0" distL="0" distR="0">
            <wp:extent cx="3457575" cy="4064000"/>
            <wp:effectExtent l="0" t="0" r="1905" b="5080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val="en-US" w:eastAsia="zh-CN"/>
        </w:rPr>
        <w:t>8、</w:t>
      </w:r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both"/>
        <w:rPr>
          <w:spacing w:val="4"/>
        </w:rPr>
      </w:pPr>
      <w:r>
        <w:drawing>
          <wp:inline distT="0" distB="0" distL="0" distR="0">
            <wp:extent cx="3486150" cy="3676650"/>
            <wp:effectExtent l="0" t="0" r="3810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>
      <w:pPr>
        <w:jc w:val="both"/>
      </w:pPr>
      <w:r>
        <w:rPr>
          <w:spacing w:val="4"/>
        </w:rPr>
        <w:drawing>
          <wp:inline distT="0" distB="0" distL="0" distR="0">
            <wp:extent cx="3524250" cy="3705225"/>
            <wp:effectExtent l="0" t="0" r="11430" b="13335"/>
            <wp:docPr id="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</w:pPr>
      <w:bookmarkStart w:id="41" w:name="_Toc12855"/>
      <w:bookmarkStart w:id="42" w:name="_Toc3498"/>
      <w:bookmarkStart w:id="43" w:name="_Toc3574"/>
      <w:bookmarkStart w:id="44" w:name="_Toc28564"/>
      <w:bookmarkStart w:id="45" w:name="_Toc3219"/>
      <w:r>
        <w:t>关闭拦截工具</w:t>
      </w:r>
      <w:bookmarkEnd w:id="41"/>
      <w:bookmarkEnd w:id="42"/>
      <w:bookmarkEnd w:id="43"/>
      <w:bookmarkEnd w:id="44"/>
      <w:bookmarkEnd w:id="45"/>
    </w:p>
    <w:p>
      <w:r>
        <w:t>上述操作完成后，如果系统中某些功能仍不能使用，请将拦截工具关闭再试用。如下图：</w:t>
      </w:r>
    </w:p>
    <w:p>
      <w:pPr>
        <w:ind w:left="0" w:leftChars="0" w:firstLine="0" w:firstLineChars="0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3114040" cy="3350895"/>
            <wp:effectExtent l="0" t="0" r="10160" b="1905"/>
            <wp:docPr id="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rcRect r="3481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>
      <w:pPr>
        <w:pStyle w:val="2"/>
      </w:pPr>
      <w:bookmarkStart w:id="46" w:name="_Toc2970"/>
      <w:r>
        <w:rPr>
          <w:rFonts w:hint="eastAsia"/>
        </w:rPr>
        <w:t>产权交易电子竞价系统</w:t>
      </w:r>
      <w:bookmarkEnd w:id="46"/>
    </w:p>
    <w:p>
      <w:pPr>
        <w:pStyle w:val="3"/>
      </w:pPr>
      <w:bookmarkStart w:id="47" w:name="_Toc24615"/>
      <w:bookmarkStart w:id="48" w:name="_Toc18976"/>
      <w:r>
        <w:rPr>
          <w:rFonts w:hint="eastAsia"/>
        </w:rPr>
        <w:t>登录系统</w:t>
      </w:r>
      <w:bookmarkEnd w:id="47"/>
      <w:bookmarkEnd w:id="48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登录竞价系统</w:t>
      </w:r>
    </w:p>
    <w:p>
      <w:pPr>
        <w:ind w:firstLine="422"/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2"/>
        </w:numPr>
        <w:ind w:firstLineChars="0"/>
      </w:pPr>
      <w:r>
        <w:rPr>
          <w:rFonts w:hint="eastAsia"/>
        </w:rPr>
        <w:t>打开系统首页，如下图：</w:t>
      </w:r>
    </w:p>
    <w:p>
      <w:pPr>
        <w:ind w:firstLine="0" w:firstLineChars="0"/>
      </w:pPr>
      <w:r>
        <w:drawing>
          <wp:inline distT="0" distB="0" distL="114300" distR="114300">
            <wp:extent cx="5266055" cy="2243455"/>
            <wp:effectExtent l="0" t="0" r="6985" b="1206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2、使用交易平台提供的登录账号和密码可以登录会员系统。如下图：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3515" cy="2317750"/>
            <wp:effectExtent l="0" t="0" r="9525" b="13970"/>
            <wp:docPr id="6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9" w:name="_Toc7980"/>
      <w:bookmarkStart w:id="50" w:name="_Toc15987"/>
      <w:r>
        <w:rPr>
          <w:rFonts w:hint="eastAsia"/>
          <w:lang w:val="en-US" w:eastAsia="zh-CN"/>
        </w:rPr>
        <w:t>招标公告</w:t>
      </w:r>
      <w:bookmarkEnd w:id="49"/>
      <w:bookmarkEnd w:id="50"/>
    </w:p>
    <w:p>
      <w:pPr>
        <w:pStyle w:val="4"/>
        <w:bidi w:val="0"/>
      </w:pPr>
      <w:bookmarkStart w:id="51" w:name="_Toc23014"/>
      <w:bookmarkStart w:id="52" w:name="_Toc27065"/>
      <w:r>
        <w:rPr>
          <w:rFonts w:hint="eastAsia"/>
          <w:lang w:val="en-US" w:eastAsia="zh-CN"/>
        </w:rPr>
        <w:t>我要报名</w:t>
      </w:r>
      <w:bookmarkEnd w:id="51"/>
      <w:bookmarkEnd w:id="52"/>
    </w:p>
    <w:p>
      <w:pPr>
        <w:ind w:firstLine="422"/>
      </w:pPr>
      <w:r>
        <w:rPr>
          <w:b/>
        </w:rPr>
        <w:t>前提条件：</w:t>
      </w:r>
      <w:r>
        <w:rPr>
          <w:rFonts w:hint="eastAsia"/>
          <w:b w:val="0"/>
          <w:bCs/>
          <w:lang w:val="en-US" w:eastAsia="zh-CN"/>
        </w:rPr>
        <w:t>产权</w:t>
      </w:r>
      <w:r>
        <w:rPr>
          <w:rFonts w:hint="eastAsia"/>
        </w:rPr>
        <w:t>招标公告发布成功</w:t>
      </w:r>
    </w:p>
    <w:p>
      <w:pPr>
        <w:ind w:firstLine="422"/>
        <w:rPr>
          <w:rFonts w:hint="default" w:eastAsia="宋体"/>
          <w:lang w:val="en-US" w:eastAsia="zh-CN"/>
        </w:rPr>
      </w:pPr>
      <w:r>
        <w:rPr>
          <w:b/>
        </w:rPr>
        <w:t>基本功能：</w:t>
      </w:r>
      <w:r>
        <w:rPr>
          <w:rFonts w:hint="eastAsia"/>
          <w:b w:val="0"/>
          <w:bCs/>
          <w:lang w:val="en-US" w:eastAsia="zh-CN"/>
        </w:rPr>
        <w:t>对标的进行报名</w:t>
      </w:r>
    </w:p>
    <w:p>
      <w:pPr>
        <w:ind w:firstLine="422"/>
        <w:rPr>
          <w:b/>
        </w:rPr>
      </w:pPr>
      <w:r>
        <w:rPr>
          <w:b/>
        </w:rPr>
        <w:t>操作步骤：</w:t>
      </w:r>
    </w:p>
    <w:p>
      <w:pPr>
        <w:ind w:firstLine="420"/>
      </w:pPr>
      <w:r>
        <w:rPr>
          <w:rFonts w:hint="eastAsia"/>
        </w:rPr>
        <w:t>1、投标人进入交易平台，点击“</w:t>
      </w:r>
      <w:r>
        <w:rPr>
          <w:rFonts w:hint="eastAsia"/>
          <w:lang w:val="en-US" w:eastAsia="zh-CN"/>
        </w:rPr>
        <w:t>权益交易</w:t>
      </w:r>
      <w:r>
        <w:rPr>
          <w:rFonts w:hint="eastAsia"/>
        </w:rPr>
        <w:t>”，如下图：</w:t>
      </w:r>
    </w:p>
    <w:p>
      <w:pPr>
        <w:ind w:firstLine="0" w:firstLineChars="0"/>
      </w:pPr>
      <w:r>
        <w:drawing>
          <wp:inline distT="0" distB="0" distL="114300" distR="114300">
            <wp:extent cx="5277485" cy="2309495"/>
            <wp:effectExtent l="0" t="0" r="10795" b="698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firstLine="0" w:firstLineChars="0"/>
      </w:pPr>
      <w:r>
        <w:rPr>
          <w:rFonts w:hint="eastAsia"/>
        </w:rPr>
        <w:t>点击“我要</w:t>
      </w:r>
      <w:r>
        <w:rPr>
          <w:rFonts w:hint="eastAsia"/>
          <w:lang w:val="en-US" w:eastAsia="zh-CN"/>
        </w:rPr>
        <w:t>报名</w:t>
      </w:r>
      <w:r>
        <w:rPr>
          <w:rFonts w:hint="eastAsia"/>
        </w:rPr>
        <w:t>”，了解购买须知信息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6215" cy="2317115"/>
            <wp:effectExtent l="0" t="0" r="12065" b="146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505710"/>
            <wp:effectExtent l="0" t="0" r="444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456180"/>
            <wp:effectExtent l="0" t="0" r="0" b="1270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firstLine="0" w:firstLineChars="0"/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同意</w:t>
      </w:r>
      <w:r>
        <w:rPr>
          <w:rFonts w:hint="eastAsia"/>
        </w:rPr>
        <w:t>”，进入购买流程，选择竞买方式，。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5420" cy="2498725"/>
            <wp:effectExtent l="0" t="0" r="7620" b="635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选择联合申请或单独申请，选择“单独申请”直接进入</w:t>
      </w:r>
      <w:r>
        <w:rPr>
          <w:rFonts w:hint="eastAsia"/>
          <w:lang w:val="en-US" w:eastAsia="zh-CN"/>
        </w:rPr>
        <w:t>申请人信息填写</w:t>
      </w:r>
      <w:r>
        <w:rPr>
          <w:rFonts w:hint="eastAsia"/>
        </w:rPr>
        <w:t>流程。如下图：</w:t>
      </w:r>
    </w:p>
    <w:p>
      <w:pPr>
        <w:ind w:firstLine="0" w:firstLineChars="0"/>
      </w:pPr>
      <w:r>
        <w:drawing>
          <wp:inline distT="0" distB="0" distL="114300" distR="114300">
            <wp:extent cx="5273675" cy="2534920"/>
            <wp:effectExtent l="0" t="0" r="14605" b="1016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3675" cy="1690370"/>
            <wp:effectExtent l="0" t="0" r="14605" b="127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选择“联合申请”进入联合申请</w:t>
      </w:r>
      <w:r>
        <w:drawing>
          <wp:inline distT="0" distB="0" distL="114300" distR="114300">
            <wp:extent cx="5274310" cy="2517140"/>
            <wp:effectExtent l="0" t="0" r="13970" b="12700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860550"/>
            <wp:effectExtent l="0" t="0" r="8255" b="13970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5、点击下一步，进入编写竞买申请书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上传电子附件，直接申请通过</w:t>
      </w:r>
      <w:r>
        <w:rPr>
          <w:rFonts w:hint="eastAsia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76850" cy="2494280"/>
            <wp:effectExtent l="0" t="0" r="11430" b="5080"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65420" cy="2479040"/>
            <wp:effectExtent l="0" t="0" r="7620" b="5080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选择交纳保证金银行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点击“生成子账号”按钮，</w:t>
      </w:r>
      <w:r>
        <w:rPr>
          <w:rFonts w:hint="eastAsia"/>
        </w:rPr>
        <w:t>并交纳保证金。</w:t>
      </w:r>
      <w:r>
        <w:drawing>
          <wp:inline distT="0" distB="0" distL="114300" distR="114300">
            <wp:extent cx="5273675" cy="2440305"/>
            <wp:effectExtent l="0" t="0" r="14605" b="13335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确认保证金提交，获取保证金随机账号，可查询保证金、资格确认书。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5580" cy="2512695"/>
            <wp:effectExtent l="0" t="0" r="12700" b="1905"/>
            <wp:docPr id="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3" w:name="_Toc3316"/>
      <w:bookmarkStart w:id="54" w:name="_Toc18263"/>
      <w:r>
        <w:rPr>
          <w:rFonts w:hint="eastAsia"/>
          <w:lang w:val="en-US" w:eastAsia="zh-CN"/>
        </w:rPr>
        <w:t>我的项目</w:t>
      </w:r>
      <w:bookmarkEnd w:id="53"/>
      <w:bookmarkEnd w:id="54"/>
    </w:p>
    <w:p>
      <w:pPr>
        <w:pStyle w:val="4"/>
      </w:pPr>
      <w:bookmarkStart w:id="55" w:name="_Toc9563"/>
      <w:bookmarkStart w:id="56" w:name="_Toc26526"/>
      <w:r>
        <w:rPr>
          <w:rFonts w:hint="eastAsia"/>
          <w:lang w:val="en-US" w:eastAsia="zh-CN"/>
        </w:rPr>
        <w:t>我要报价</w:t>
      </w:r>
      <w:bookmarkEnd w:id="55"/>
      <w:bookmarkEnd w:id="56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对标的进行竞价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我的项目</w:t>
      </w:r>
      <w:r>
        <w:rPr>
          <w:rFonts w:hint="eastAsia"/>
        </w:rPr>
        <w:t>”，显示参与竞价的标的，如下图：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462530"/>
            <wp:effectExtent l="0" t="0" r="7620" b="6350"/>
            <wp:docPr id="7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</w:rPr>
      </w:pPr>
      <w:r>
        <w:rPr>
          <w:rFonts w:hint="eastAsia"/>
        </w:rPr>
        <w:t>点击正在竞价的标的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我要报价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，进入竞价页面，如下图：</w:t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6850" cy="2498725"/>
            <wp:effectExtent l="0" t="0" r="11430" b="635"/>
            <wp:docPr id="8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74310" cy="2525395"/>
            <wp:effectExtent l="0" t="0" r="13970" b="444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选择“竞价阶梯倍数”，点击“</w:t>
      </w:r>
      <w:r>
        <w:rPr>
          <w:rFonts w:hint="eastAsia"/>
          <w:lang w:val="en-US" w:eastAsia="zh-CN"/>
        </w:rPr>
        <w:t>提交</w:t>
      </w:r>
      <w:r>
        <w:rPr>
          <w:rFonts w:hint="eastAsia"/>
        </w:rPr>
        <w:t>报价”按钮，</w:t>
      </w:r>
      <w:r>
        <w:rPr>
          <w:rFonts w:hint="eastAsia"/>
          <w:lang w:val="en-US" w:eastAsia="zh-CN"/>
        </w:rPr>
        <w:t>完成报价操作，，此时会显示目前最高价。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3413760"/>
            <wp:effectExtent l="0" t="0" r="13335" b="0"/>
            <wp:docPr id="8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</w:rPr>
        <w:t>可以查看全部的报价记录</w:t>
      </w:r>
      <w:r>
        <w:rPr>
          <w:rFonts w:hint="eastAsia"/>
          <w:lang w:eastAsia="zh-CN"/>
        </w:rPr>
        <w:t>，</w:t>
      </w:r>
      <w:r>
        <w:rPr>
          <w:rFonts w:hint="eastAsia"/>
        </w:rPr>
        <w:t>当正常竞价时间结束后进入延时竞价时段</w:t>
      </w:r>
      <w:r>
        <w:rPr>
          <w:rFonts w:hint="eastAsia"/>
          <w:lang w:eastAsia="zh-CN"/>
        </w:rPr>
        <w:t>。</w:t>
      </w:r>
    </w:p>
    <w:p>
      <w:pPr>
        <w:numPr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70500" cy="3402965"/>
            <wp:effectExtent l="0" t="0" r="2540" b="10795"/>
            <wp:docPr id="8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注：延时竞价时段报价后，倒计时会重置。</w:t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</w:rPr>
        <w:t>倒计时结束后，报价最高的竞价人页面会显示成交</w:t>
      </w:r>
      <w:r>
        <w:rPr>
          <w:rFonts w:hint="eastAsia"/>
          <w:lang w:eastAsia="zh-CN"/>
        </w:rPr>
        <w:t>；</w:t>
      </w:r>
      <w:r>
        <w:rPr>
          <w:rFonts w:hint="eastAsia"/>
        </w:rPr>
        <w:t>其余竞价人的页面会显示谢谢参与</w:t>
      </w:r>
      <w:r>
        <w:rPr>
          <w:rFonts w:hint="eastAsia"/>
          <w:lang w:eastAsia="zh-CN"/>
        </w:rPr>
        <w:t>。</w:t>
      </w:r>
    </w:p>
    <w:p>
      <w:pPr>
        <w:numPr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9230" cy="3429635"/>
            <wp:effectExtent l="0" t="0" r="3810" b="14605"/>
            <wp:docPr id="8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7" w:name="_Toc30113"/>
      <w:bookmarkStart w:id="58" w:name="_Toc5394"/>
      <w:r>
        <w:rPr>
          <w:rFonts w:hint="eastAsia"/>
          <w:lang w:val="en-US" w:eastAsia="zh-CN"/>
        </w:rPr>
        <w:t>报价历史</w:t>
      </w:r>
      <w:bookmarkEnd w:id="57"/>
      <w:bookmarkEnd w:id="58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>
      <w:pPr>
        <w:ind w:firstLine="422"/>
        <w:rPr>
          <w:rFonts w:hint="default" w:ascii="宋体" w:hAnsi="宋体" w:eastAsia="宋体"/>
          <w:lang w:val="en-US"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报价历史记录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r>
        <w:rPr>
          <w:rFonts w:hint="eastAsia"/>
        </w:rPr>
        <w:t>1、点击已结束的标的“</w:t>
      </w:r>
      <w:r>
        <w:rPr>
          <w:rFonts w:hint="eastAsia"/>
          <w:lang w:val="en-US" w:eastAsia="zh-CN"/>
        </w:rPr>
        <w:t>报价历史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，弹出查看历史标的信息页面，如下图：</w:t>
      </w:r>
    </w:p>
    <w:p>
      <w:pPr>
        <w:ind w:firstLine="0" w:firstLineChars="0"/>
        <w:rPr>
          <w:b/>
          <w:bCs/>
        </w:rPr>
      </w:pPr>
      <w:r>
        <w:drawing>
          <wp:inline distT="0" distB="0" distL="114300" distR="114300">
            <wp:extent cx="5263515" cy="2295525"/>
            <wp:effectExtent l="0" t="0" r="9525" b="5715"/>
            <wp:docPr id="8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9" w:name="_GoBack"/>
      <w:r>
        <w:drawing>
          <wp:inline distT="0" distB="0" distL="114300" distR="114300">
            <wp:extent cx="5276850" cy="1809115"/>
            <wp:effectExtent l="0" t="0" r="11430" b="4445"/>
            <wp:docPr id="8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9"/>
    </w:p>
    <w:p>
      <w:pPr>
        <w:ind w:firstLine="0" w:firstLineChars="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江苏国泰新点软件有限公司0512-58188000                   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  <w:r>
      <w:rPr>
        <w:lang w:val="zh-CN"/>
      </w:rPr>
      <w:t>/</w:t>
    </w:r>
    <w:r>
      <w:rPr>
        <w:rFonts w:hint="eastAsia"/>
      </w:rPr>
      <w:t>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ascii="宋体" w:hAnsi="宋体"/>
      </w:rPr>
      <w:pict>
        <v:shape id="_x0000_i1025" o:spt="75" type="#_x0000_t75" style="height:23.8pt;width:46.9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宋体" w:hAnsi="宋体"/>
      </w:rPr>
      <w:t>产权交易电子竞价</w:t>
    </w:r>
    <w:r>
      <w:rPr>
        <w:rFonts w:hint="eastAsia" w:ascii="Cambria" w:hAnsi="Cambria"/>
      </w:rPr>
      <w:t xml:space="preserve">操作手册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>张家港</w:t>
    </w:r>
    <w:r>
      <w:rPr>
        <w:color w:val="000000"/>
      </w:rPr>
      <w:t>市</w:t>
    </w:r>
    <w:r>
      <w:rPr>
        <w:rFonts w:hint="eastAsia"/>
        <w:color w:val="000000"/>
      </w:rPr>
      <w:t xml:space="preserve">2013021904-CQJY60303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EBE291"/>
    <w:multiLevelType w:val="singleLevel"/>
    <w:tmpl w:val="FDEBE29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B7C51B"/>
    <w:multiLevelType w:val="singleLevel"/>
    <w:tmpl w:val="58B7C51B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abstractNum w:abstractNumId="3">
    <w:nsid w:val="6C7F21D0"/>
    <w:multiLevelType w:val="multilevel"/>
    <w:tmpl w:val="6C7F21D0"/>
    <w:lvl w:ilvl="0" w:tentative="0">
      <w:start w:val="1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4" w:hanging="420"/>
      </w:pPr>
    </w:lvl>
    <w:lvl w:ilvl="2" w:tentative="0">
      <w:start w:val="1"/>
      <w:numFmt w:val="lowerRoman"/>
      <w:lvlText w:val="%3."/>
      <w:lvlJc w:val="right"/>
      <w:pPr>
        <w:ind w:left="1684" w:hanging="420"/>
      </w:pPr>
    </w:lvl>
    <w:lvl w:ilvl="3" w:tentative="0">
      <w:start w:val="1"/>
      <w:numFmt w:val="decimal"/>
      <w:lvlText w:val="%4."/>
      <w:lvlJc w:val="left"/>
      <w:pPr>
        <w:ind w:left="2104" w:hanging="420"/>
      </w:pPr>
    </w:lvl>
    <w:lvl w:ilvl="4" w:tentative="0">
      <w:start w:val="1"/>
      <w:numFmt w:val="lowerLetter"/>
      <w:lvlText w:val="%5)"/>
      <w:lvlJc w:val="left"/>
      <w:pPr>
        <w:ind w:left="2524" w:hanging="420"/>
      </w:pPr>
    </w:lvl>
    <w:lvl w:ilvl="5" w:tentative="0">
      <w:start w:val="1"/>
      <w:numFmt w:val="lowerRoman"/>
      <w:lvlText w:val="%6."/>
      <w:lvlJc w:val="right"/>
      <w:pPr>
        <w:ind w:left="2944" w:hanging="420"/>
      </w:pPr>
    </w:lvl>
    <w:lvl w:ilvl="6" w:tentative="0">
      <w:start w:val="1"/>
      <w:numFmt w:val="decimal"/>
      <w:lvlText w:val="%7."/>
      <w:lvlJc w:val="left"/>
      <w:pPr>
        <w:ind w:left="3364" w:hanging="420"/>
      </w:pPr>
    </w:lvl>
    <w:lvl w:ilvl="7" w:tentative="0">
      <w:start w:val="1"/>
      <w:numFmt w:val="lowerLetter"/>
      <w:lvlText w:val="%8)"/>
      <w:lvlJc w:val="left"/>
      <w:pPr>
        <w:ind w:left="3784" w:hanging="420"/>
      </w:pPr>
    </w:lvl>
    <w:lvl w:ilvl="8" w:tentative="0">
      <w:start w:val="1"/>
      <w:numFmt w:val="lowerRoman"/>
      <w:lvlText w:val="%9."/>
      <w:lvlJc w:val="right"/>
      <w:pPr>
        <w:ind w:left="4204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NotTrackMoves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320A1"/>
    <w:rsid w:val="0001467A"/>
    <w:rsid w:val="000A23A7"/>
    <w:rsid w:val="000D2549"/>
    <w:rsid w:val="000D2C6D"/>
    <w:rsid w:val="00141796"/>
    <w:rsid w:val="00151D02"/>
    <w:rsid w:val="0017706A"/>
    <w:rsid w:val="0017711F"/>
    <w:rsid w:val="001C5E88"/>
    <w:rsid w:val="001F66B7"/>
    <w:rsid w:val="00217FF2"/>
    <w:rsid w:val="00271930"/>
    <w:rsid w:val="002A1AB8"/>
    <w:rsid w:val="002B3369"/>
    <w:rsid w:val="002D2C09"/>
    <w:rsid w:val="002E2A41"/>
    <w:rsid w:val="003D4DF3"/>
    <w:rsid w:val="003E62CC"/>
    <w:rsid w:val="00450DBA"/>
    <w:rsid w:val="004532EC"/>
    <w:rsid w:val="004A28BA"/>
    <w:rsid w:val="005331CC"/>
    <w:rsid w:val="005A4EE5"/>
    <w:rsid w:val="005D6982"/>
    <w:rsid w:val="00602B4A"/>
    <w:rsid w:val="00617B46"/>
    <w:rsid w:val="006320A1"/>
    <w:rsid w:val="00647565"/>
    <w:rsid w:val="00647C7F"/>
    <w:rsid w:val="006D0CFB"/>
    <w:rsid w:val="006F6AE2"/>
    <w:rsid w:val="00713B8C"/>
    <w:rsid w:val="00734774"/>
    <w:rsid w:val="007421D4"/>
    <w:rsid w:val="00766CED"/>
    <w:rsid w:val="007722CB"/>
    <w:rsid w:val="007E290A"/>
    <w:rsid w:val="00805132"/>
    <w:rsid w:val="00822F9F"/>
    <w:rsid w:val="008540AE"/>
    <w:rsid w:val="00874718"/>
    <w:rsid w:val="008A3255"/>
    <w:rsid w:val="008E6373"/>
    <w:rsid w:val="008F37DD"/>
    <w:rsid w:val="00933F3F"/>
    <w:rsid w:val="00947B89"/>
    <w:rsid w:val="00947F5E"/>
    <w:rsid w:val="00A05AF4"/>
    <w:rsid w:val="00A53B32"/>
    <w:rsid w:val="00AC6412"/>
    <w:rsid w:val="00AE6946"/>
    <w:rsid w:val="00B92A69"/>
    <w:rsid w:val="00BE1539"/>
    <w:rsid w:val="00C636AA"/>
    <w:rsid w:val="00CE3A9B"/>
    <w:rsid w:val="00CE480B"/>
    <w:rsid w:val="00D21EA2"/>
    <w:rsid w:val="00EB24FF"/>
    <w:rsid w:val="00F45FEF"/>
    <w:rsid w:val="00F477E8"/>
    <w:rsid w:val="00F5761E"/>
    <w:rsid w:val="00F639AC"/>
    <w:rsid w:val="036D6368"/>
    <w:rsid w:val="3B550C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unhideWhenUsed="0" w:uiPriority="39" w:semiHidden="0" w:name="toc 4"/>
    <w:lsdException w:unhideWhenUsed="0" w:uiPriority="39" w:semiHidden="0" w:name="toc 5"/>
    <w:lsdException w:qFormat="1"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nhideWhenUsed="0" w:uiPriority="0" w:semiHidden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iPriority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nhideWhenUsed="0" w:uiPriority="0" w:semiHidden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uiPriority w:val="1"/>
  </w:style>
  <w:style w:type="table" w:default="1" w:styleId="4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qFormat/>
    <w:uiPriority w:val="0"/>
  </w:style>
  <w:style w:type="paragraph" w:styleId="16">
    <w:name w:val="Body Text 3"/>
    <w:basedOn w:val="1"/>
    <w:link w:val="108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uiPriority w:val="0"/>
    <w:pPr>
      <w:spacing w:after="120"/>
    </w:pPr>
  </w:style>
  <w:style w:type="paragraph" w:styleId="18">
    <w:name w:val="Body Text Indent"/>
    <w:basedOn w:val="1"/>
    <w:link w:val="92"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uiPriority w:val="0"/>
    <w:rPr>
      <w:rFonts w:ascii="宋体" w:hAnsi="Courier New"/>
    </w:rPr>
  </w:style>
  <w:style w:type="paragraph" w:styleId="22">
    <w:name w:val="toc 8"/>
    <w:basedOn w:val="1"/>
    <w:next w:val="1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qFormat/>
    <w:uiPriority w:val="0"/>
    <w:pPr>
      <w:ind w:left="100" w:leftChars="2500"/>
    </w:pPr>
  </w:style>
  <w:style w:type="paragraph" w:styleId="24">
    <w:name w:val="Body Text Indent 2"/>
    <w:basedOn w:val="1"/>
    <w:link w:val="89"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uiPriority w:val="0"/>
    <w:rPr>
      <w:sz w:val="18"/>
      <w:szCs w:val="18"/>
    </w:rPr>
  </w:style>
  <w:style w:type="paragraph" w:styleId="26">
    <w:name w:val="footer"/>
    <w:basedOn w:val="1"/>
    <w:link w:val="96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uiPriority w:val="0"/>
    <w:pPr>
      <w:spacing w:after="120" w:line="480" w:lineRule="auto"/>
    </w:pPr>
  </w:style>
  <w:style w:type="paragraph" w:styleId="37">
    <w:name w:val="Normal (Web)"/>
    <w:basedOn w:val="1"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uiPriority w:val="0"/>
  </w:style>
  <w:style w:type="character" w:styleId="44">
    <w:name w:val="FollowedHyperlink"/>
    <w:uiPriority w:val="0"/>
    <w:rPr>
      <w:color w:val="800080"/>
      <w:u w:val="single"/>
    </w:rPr>
  </w:style>
  <w:style w:type="character" w:styleId="45">
    <w:name w:val="Hyperlink"/>
    <w:uiPriority w:val="99"/>
    <w:rPr>
      <w:color w:val="0000FF"/>
      <w:u w:val="single"/>
    </w:rPr>
  </w:style>
  <w:style w:type="character" w:styleId="46">
    <w:name w:val="annotation reference"/>
    <w:uiPriority w:val="0"/>
    <w:rPr>
      <w:sz w:val="21"/>
      <w:szCs w:val="21"/>
    </w:rPr>
  </w:style>
  <w:style w:type="paragraph" w:customStyle="1" w:styleId="47">
    <w:name w:val="xl29"/>
    <w:basedOn w:val="1"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uiPriority w:val="0"/>
    <w:rPr>
      <w:b/>
      <w:bCs/>
      <w:kern w:val="2"/>
      <w:sz w:val="30"/>
      <w:szCs w:val="18"/>
    </w:rPr>
  </w:style>
  <w:style w:type="character" w:customStyle="1" w:styleId="91">
    <w:name w:val="large1"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3"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uiPriority w:val="0"/>
    <w:rPr>
      <w:kern w:val="2"/>
      <w:sz w:val="21"/>
      <w:szCs w:val="24"/>
    </w:rPr>
  </w:style>
  <w:style w:type="character" w:customStyle="1" w:styleId="99">
    <w:name w:val="14_black1"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3">
    <w:name w:val="f141"/>
    <w:qFormat/>
    <w:uiPriority w:val="0"/>
    <w:rPr>
      <w:sz w:val="21"/>
      <w:szCs w:val="21"/>
    </w:rPr>
  </w:style>
  <w:style w:type="character" w:customStyle="1" w:styleId="104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0">
    <w:name w:val="Indent Normal Char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uiPriority w:val="0"/>
    <w:rPr>
      <w:kern w:val="2"/>
      <w:sz w:val="21"/>
      <w:szCs w:val="24"/>
    </w:rPr>
  </w:style>
  <w:style w:type="character" w:customStyle="1" w:styleId="112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qFormat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qFormat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qFormat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qFormat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qFormat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qFormat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qFormat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qFormat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qFormat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qFormat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AA9243-D6B4-4A6B-BAC1-76550510D1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 </Company>
  <Pages>29</Pages>
  <Words>743</Words>
  <Characters>4241</Characters>
  <Lines>35</Lines>
  <Paragraphs>9</Paragraphs>
  <TotalTime>37</TotalTime>
  <ScaleCrop>false</ScaleCrop>
  <LinksUpToDate>false</LinksUpToDate>
  <CharactersWithSpaces>4975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yuanxun</dc:creator>
  <cp:lastModifiedBy>Tiger</cp:lastModifiedBy>
  <dcterms:modified xsi:type="dcterms:W3CDTF">2019-06-20T03:06:30Z</dcterms:modified>
  <dc:title>_x0001_</dc:title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